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3B" w:rsidRDefault="00CA283B" w:rsidP="00CA2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32"/>
          <w:szCs w:val="32"/>
        </w:rPr>
        <w:t>Охорона праці в галузі</w:t>
      </w:r>
      <w:r>
        <w:rPr>
          <w:b/>
          <w:sz w:val="28"/>
          <w:szCs w:val="28"/>
        </w:rPr>
        <w:t>»,</w:t>
      </w:r>
    </w:p>
    <w:p w:rsidR="00CA283B" w:rsidRDefault="00CA283B" w:rsidP="00CA28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ФВГЕП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БВ та МТП у тваринництві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21    Ветеринарна медицина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другий ( магістр)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212 Ветеринарна гігієна, санітарія і експертиза, 3 курс</w:t>
      </w:r>
    </w:p>
    <w:p w:rsidR="00CA283B" w:rsidRDefault="00CA283B" w:rsidP="00CA28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Ярошович</w:t>
      </w:r>
      <w:proofErr w:type="spellEnd"/>
      <w:r>
        <w:rPr>
          <w:sz w:val="28"/>
          <w:szCs w:val="28"/>
        </w:rPr>
        <w:t xml:space="preserve"> Іван Григорович</w:t>
      </w:r>
      <w:r>
        <w:rPr>
          <w:sz w:val="28"/>
          <w:szCs w:val="28"/>
          <w:lang w:eastAsia="uk-UA"/>
        </w:rPr>
        <w:t xml:space="preserve">, </w:t>
      </w:r>
      <w:r>
        <w:rPr>
          <w:b/>
          <w:sz w:val="28"/>
          <w:szCs w:val="28"/>
          <w:lang w:eastAsia="uk-UA"/>
        </w:rPr>
        <w:t>jarochovich2017@gmail.com</w:t>
      </w:r>
      <w:r>
        <w:rPr>
          <w:sz w:val="28"/>
          <w:szCs w:val="28"/>
          <w:lang w:eastAsia="uk-UA"/>
        </w:rPr>
        <w:t xml:space="preserve"> (</w:t>
      </w:r>
      <w:r>
        <w:rPr>
          <w:b/>
          <w:sz w:val="28"/>
          <w:szCs w:val="28"/>
          <w:lang w:eastAsia="uk-UA"/>
        </w:rPr>
        <w:t>обов’язково до заповнення</w:t>
      </w:r>
      <w:r>
        <w:rPr>
          <w:sz w:val="28"/>
          <w:szCs w:val="28"/>
          <w:lang w:eastAsia="uk-UA"/>
        </w:rPr>
        <w:t>)</w:t>
      </w:r>
    </w:p>
    <w:p w:rsidR="00CA283B" w:rsidRDefault="00CA283B" w:rsidP="00CA28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475"/>
        <w:gridCol w:w="9131"/>
        <w:gridCol w:w="1276"/>
      </w:tblGrid>
      <w:tr w:rsidR="00CA283B" w:rsidTr="00CA283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 ресурс</w:t>
            </w:r>
          </w:p>
        </w:tc>
      </w:tr>
      <w:tr w:rsidR="00CA283B" w:rsidTr="00CA283B"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3B" w:rsidRDefault="00CA283B">
            <w:pPr>
              <w:rPr>
                <w:sz w:val="28"/>
                <w:szCs w:val="28"/>
              </w:rPr>
            </w:pPr>
          </w:p>
        </w:tc>
      </w:tr>
      <w:tr w:rsidR="00CA283B" w:rsidTr="00CA283B">
        <w:trPr>
          <w:trHeight w:val="20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04.2020р.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Гігієна  праці та виробнича санітарія 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у ветеринарні медицині.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Стан умов праці у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лабораторіях ветеринарної медицини.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Поняття про гігієну праці та виробничу санітарію у ветеринарні медицині.</w:t>
            </w:r>
            <w:r>
              <w:rPr>
                <w:bCs/>
                <w:sz w:val="28"/>
                <w:szCs w:val="28"/>
              </w:rPr>
              <w:t xml:space="preserve"> Аналіз умов праці у галузі за показниками шкідливості та небезпечності чинників виробничого середовища, важкості та напруженості трудового процесу.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Санітарно – гігієнічні вимоги до виробничих приміщень ветеринарних закладів, аптек, лабораторій, віварій, ізоляторів та інших ветеринарних об'єктів. Допустимі рівні параметрів повітря і шкідливих речовин.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rPr>
                <w:sz w:val="28"/>
                <w:szCs w:val="28"/>
              </w:rPr>
            </w:pPr>
            <w:hyperlink r:id="rId5" w:history="1">
              <w:r>
                <w:rPr>
                  <w:rStyle w:val="a3"/>
                </w:rPr>
                <w:t>http://college.nuph.edu.ua/wp-content/uploads/2017/05/osnovy_ohorony_prac.pdf</w:t>
              </w:r>
            </w:hyperlink>
          </w:p>
        </w:tc>
      </w:tr>
      <w:tr w:rsidR="00CA283B" w:rsidTr="00CA283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21.04.2020р.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виробничої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загальні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вимоги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тваринництві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ветеринарній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медицині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.         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Електробезпека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shd w:val="clear" w:color="auto" w:fill="FFFFFF"/>
              <w:ind w:left="-199" w:firstLine="5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Загальні вимоги безпеки технологічного обладнання. Основи виробничої безпеки. Вимоги до організації робочих місць. </w:t>
            </w:r>
            <w:proofErr w:type="spellStart"/>
            <w:r>
              <w:rPr>
                <w:sz w:val="28"/>
                <w:szCs w:val="28"/>
              </w:rPr>
              <w:t>Електротравматизм</w:t>
            </w:r>
            <w:proofErr w:type="spellEnd"/>
            <w:r>
              <w:rPr>
                <w:sz w:val="28"/>
                <w:szCs w:val="28"/>
              </w:rPr>
              <w:t xml:space="preserve"> та дія електричного струму на організм людини. Види електричних травм. Фактори, що впливають на наслідки ураження електричним струмом. Класифікація приміщень за ступенем небезпеки ураження електричним струмом. Умови ураження людини електричним струмом.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rPr>
                <w:sz w:val="28"/>
                <w:szCs w:val="28"/>
              </w:rPr>
            </w:pPr>
            <w:hyperlink r:id="rId6" w:history="1">
              <w:r>
                <w:rPr>
                  <w:rStyle w:val="a3"/>
                </w:rPr>
                <w:t>http://college.nuph.edu.ua/wp-content/uploads/2017/05/osnovy_ohorony_prac.pdf</w:t>
              </w:r>
            </w:hyperlink>
          </w:p>
        </w:tc>
      </w:tr>
    </w:tbl>
    <w:p w:rsidR="00CA283B" w:rsidRDefault="00CA283B" w:rsidP="00CA283B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CA283B" w:rsidRDefault="00CA283B" w:rsidP="00CA283B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80"/>
        <w:gridCol w:w="10200"/>
      </w:tblGrid>
      <w:tr w:rsidR="00CA283B" w:rsidTr="00CA283B"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B" w:rsidRDefault="00CA283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30"/>
              </w:rPr>
              <w:t xml:space="preserve">Основні положення Закону України про охорону праці. </w:t>
            </w:r>
          </w:p>
          <w:p w:rsidR="00CA283B" w:rsidRDefault="00CA283B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Права працівників на охорону праці під час роботи. Обов'язкові медичні огляди працівників певних категорій. Документи, що належать до нормативно - правових актів з охорони праці. Державне управління охороною праці. Державний нагляд і громадський контроль за охороною праці. Відповідальність за порушення </w:t>
            </w:r>
            <w:r>
              <w:rPr>
                <w:spacing w:val="-6"/>
                <w:sz w:val="28"/>
                <w:szCs w:val="28"/>
              </w:rPr>
              <w:lastRenderedPageBreak/>
              <w:t>законодавства про охорону праці.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B" w:rsidRDefault="00CA283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color w:val="000000"/>
                <w:spacing w:val="-6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Міжнародні норми в галузі охорони праці.</w:t>
            </w:r>
          </w:p>
          <w:p w:rsidR="00CA283B" w:rsidRDefault="00CA283B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shd w:val="clear" w:color="auto" w:fill="FFFFFF"/>
              <w:ind w:firstLine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Соціальне партнерство (соціальний діалог) в охороні праці. Соціальне партнерство як принцип законодавчого та нормативно-правового забезпечення охорони праці. Соціальний діалог в Європейському Союзі.</w:t>
            </w:r>
          </w:p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Міжнародне співробітництво в галузі охорони праці. Основні напрямки співробітництва. Організація об’єднаних націй. Всесвітня організація охорони здоров’я.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B" w:rsidRDefault="00CA283B">
            <w:pPr>
              <w:jc w:val="both"/>
              <w:rPr>
                <w:sz w:val="28"/>
                <w:lang w:val="ru-RU"/>
              </w:rPr>
            </w:pPr>
            <w:r>
              <w:rPr>
                <w:color w:val="000000"/>
                <w:sz w:val="28"/>
                <w:szCs w:val="30"/>
              </w:rPr>
              <w:t>Первинна документація з охорони праці. Навчання та інструктажі з охорони праці.</w:t>
            </w:r>
          </w:p>
          <w:p w:rsidR="00CA283B" w:rsidRDefault="00CA283B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Документи, що належать до нормативно – правових актів з охорони праці. Опрацювання, прийняття та скасування нормативно – правових актів з охорони праці. Тимчасове припинення чинності нормативно – правових актів з охорони праці. Поширення дії нормативно – правових актів з охорони праці на сферу трудового і професійного навчання згідно Типового положення про порядок проведення і перевірки знань з охорони праці, затверджене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Держнагядохоронипраці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від 26. 01. 2005р. №15із змінами наказу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Мінсоцполітики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№140 з 30. 01. 2017р.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B" w:rsidRDefault="00CA283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Гігієна праці та виробнича санітарія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у</w:t>
            </w:r>
            <w:r>
              <w:rPr>
                <w:bCs/>
                <w:color w:val="000000"/>
                <w:sz w:val="32"/>
                <w:szCs w:val="32"/>
                <w:lang w:eastAsia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ветеринарній медицині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</w:p>
          <w:p w:rsidR="00CA283B" w:rsidRDefault="00CA283B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Загальні вимоги безпеки.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Перелік робіт з підвищеною небезпекою, для виконання яких потрібне попереднє спеціальне навчання і щорічна перевірка знань працівників з питань охорони праці (Наказ МОЗУ від 8. 04. 2014року №248.). </w:t>
            </w:r>
            <w:r>
              <w:rPr>
                <w:bCs/>
                <w:sz w:val="28"/>
                <w:szCs w:val="28"/>
              </w:rPr>
              <w:t xml:space="preserve">Вимоги до санітарного контролю за станом повітря робочої зони. Вимоги до засобів індивідуального захисту. </w:t>
            </w:r>
            <w:r>
              <w:rPr>
                <w:rFonts w:eastAsia="Calibri"/>
                <w:sz w:val="28"/>
                <w:szCs w:val="28"/>
                <w:lang w:eastAsia="en-US"/>
              </w:rPr>
              <w:t>Зони небезпеки та їх огородження. Світлова та звукова сигналізація. Запобіжні надписи, сигнальні фарбування. Знаки безпеки. Засоби захисту від небезпечних і шкідливих виробничих  факторів. Мікроклімат виробничих приміщень. План ліквідації аварії.  План евакуації з приміщень лабораторій ветеринарної медицини у випадку аварії.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B" w:rsidRDefault="00CA283B">
            <w:pPr>
              <w:spacing w:line="276" w:lineRule="auto"/>
              <w:jc w:val="both"/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Організація  ЄС у сфері безпеки й гігієни праці. 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</w:t>
            </w:r>
          </w:p>
          <w:p w:rsidR="00CA283B" w:rsidRDefault="00CA283B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         Основні типи  організацій  Європейського Союзу  (далі – ЄС)  пов'язані з питаннями безпеки й гігієни праці. Інститути керівних організацій ЄС. Комітети Європейської комісії (Комітет головних інспекторів праці. Науковий комітет зі значень ГДК. Консультативний комітет з безпеки й гігієни праці.). Незалежні європейські агентства. Європейські науково – дослідні організації у сфері безпеки й 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lastRenderedPageBreak/>
              <w:t>гігієни праці. Громадські об'єднання професійних організацій у сфері безпеки й гігієни праці. Партнерство в Європейських дослідженнях з безпеки й гігієни праці.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B" w:rsidRDefault="00CA283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Електробезпека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>лабораторіях ветеринарної медицини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A283B" w:rsidRDefault="00CA283B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Електробезпека. Поняття про електробезпеку. Основні причини </w:t>
            </w:r>
            <w:proofErr w:type="spellStart"/>
            <w:r>
              <w:rPr>
                <w:sz w:val="28"/>
                <w:szCs w:val="28"/>
              </w:rPr>
              <w:t>електротравматизму</w:t>
            </w:r>
            <w:proofErr w:type="spellEnd"/>
            <w:r>
              <w:rPr>
                <w:sz w:val="28"/>
                <w:szCs w:val="28"/>
              </w:rPr>
              <w:t xml:space="preserve">. Організаційні електрозахисті заходи. Запровадження персональної відповідальності осіб, які організують та виконують роботи у електроустановках. </w:t>
            </w:r>
            <w:proofErr w:type="spellStart"/>
            <w:r>
              <w:rPr>
                <w:bCs/>
                <w:sz w:val="28"/>
                <w:szCs w:val="28"/>
              </w:rPr>
              <w:t>Електрозахисні</w:t>
            </w:r>
            <w:proofErr w:type="spellEnd"/>
            <w:r>
              <w:rPr>
                <w:bCs/>
                <w:sz w:val="28"/>
                <w:szCs w:val="28"/>
              </w:rPr>
              <w:t xml:space="preserve"> методи для запобігання ураження працівників електричним струмом у разі пробиття електроізоляції. </w:t>
            </w:r>
          </w:p>
          <w:p w:rsidR="00CA283B" w:rsidRDefault="00CA28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Електрозахисні</w:t>
            </w:r>
            <w:proofErr w:type="spellEnd"/>
            <w:r>
              <w:rPr>
                <w:sz w:val="28"/>
                <w:szCs w:val="28"/>
              </w:rPr>
              <w:t xml:space="preserve"> засоби як діелектричні засоби індивідуального захисту під час експлуатації, обслуговування та ремонту електроустановок. Основні та додаткові електрозахисті засоби. Періодичність випробування </w:t>
            </w:r>
            <w:proofErr w:type="spellStart"/>
            <w:r>
              <w:rPr>
                <w:sz w:val="28"/>
                <w:szCs w:val="28"/>
              </w:rPr>
              <w:t>електрозахисних</w:t>
            </w:r>
            <w:proofErr w:type="spellEnd"/>
            <w:r>
              <w:rPr>
                <w:sz w:val="28"/>
                <w:szCs w:val="28"/>
              </w:rPr>
              <w:t xml:space="preserve"> засобів.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B" w:rsidRDefault="00CA2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Основні заходи пожежної профілактики в </w:t>
            </w:r>
            <w:r>
              <w:rPr>
                <w:rFonts w:eastAsia="Calibri"/>
                <w:sz w:val="28"/>
                <w:szCs w:val="28"/>
                <w:lang w:eastAsia="en-US"/>
              </w:rPr>
              <w:t>лабораторіях ветеринарної медицини</w:t>
            </w:r>
            <w:r>
              <w:rPr>
                <w:sz w:val="28"/>
                <w:szCs w:val="28"/>
                <w:lang w:val="ru-RU"/>
              </w:rPr>
              <w:t xml:space="preserve"> .</w:t>
            </w:r>
          </w:p>
          <w:p w:rsidR="00CA283B" w:rsidRDefault="00CA283B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Пожежна техніка для захисту об'єктів. Гасіння та профілактика пожеж на об’єктах галузі. </w:t>
            </w:r>
            <w:r>
              <w:rPr>
                <w:sz w:val="28"/>
                <w:szCs w:val="28"/>
              </w:rPr>
              <w:t xml:space="preserve">Дії персоналу при виникненні пожежі. Забезпечення та контроль стану пожежної безпеки на виробничих об’єктах. Вивчення питань пожежної безпеки працівниками. </w:t>
            </w:r>
            <w:r>
              <w:rPr>
                <w:bCs/>
                <w:sz w:val="28"/>
                <w:szCs w:val="28"/>
              </w:rPr>
              <w:t xml:space="preserve">Класи виробничих та складських приміщень по вибуховій та пожежній небезпеці. Вогнестійкість будівельних конструкцій і матеріалів. </w:t>
            </w:r>
            <w:r>
              <w:rPr>
                <w:rFonts w:ascii="Times New Roman CYR" w:hAnsi="Times New Roman CYR"/>
                <w:sz w:val="28"/>
                <w:szCs w:val="28"/>
              </w:rPr>
              <w:t>Розробка заходів пожежної профілактики на характерному галузевому об’єкті.</w:t>
            </w:r>
            <w:r>
              <w:rPr>
                <w:b/>
                <w:color w:val="000000"/>
                <w:sz w:val="28"/>
                <w:szCs w:val="30"/>
              </w:rPr>
              <w:t xml:space="preserve"> </w:t>
            </w:r>
            <w:r>
              <w:rPr>
                <w:color w:val="000000"/>
                <w:sz w:val="28"/>
                <w:szCs w:val="30"/>
              </w:rPr>
              <w:t>Пожежне</w:t>
            </w:r>
            <w:r>
              <w:rPr>
                <w:b/>
                <w:color w:val="000000"/>
                <w:sz w:val="28"/>
                <w:szCs w:val="30"/>
              </w:rPr>
              <w:t xml:space="preserve"> </w:t>
            </w:r>
            <w:r>
              <w:rPr>
                <w:color w:val="000000"/>
                <w:sz w:val="28"/>
                <w:szCs w:val="30"/>
              </w:rPr>
              <w:t>водопостачання об'єктів сільськогосподарського виробництва.</w:t>
            </w:r>
          </w:p>
        </w:tc>
      </w:tr>
      <w:tr w:rsidR="00CA283B" w:rsidTr="00CA28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Безпека праці під час догляду і проведення </w:t>
            </w:r>
            <w:proofErr w:type="spellStart"/>
            <w:r>
              <w:rPr>
                <w:sz w:val="28"/>
                <w:szCs w:val="28"/>
              </w:rPr>
              <w:t>ветеринарно</w:t>
            </w:r>
            <w:proofErr w:type="spellEnd"/>
            <w:r>
              <w:rPr>
                <w:sz w:val="28"/>
                <w:szCs w:val="28"/>
              </w:rPr>
              <w:t xml:space="preserve"> - санітарних заходів у тваринництві.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3B" w:rsidRDefault="00CA283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Безпека праці ВРХ, коней, дрібних тварин при вирощуванні, штучного осіменіння, перегонів, випасання та транспортування. Захист від інфекційних хвороб.</w:t>
            </w:r>
          </w:p>
        </w:tc>
      </w:tr>
    </w:tbl>
    <w:p w:rsidR="00CA283B" w:rsidRDefault="00CA283B" w:rsidP="00CA283B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*-</w:t>
      </w:r>
      <w:r>
        <w:rPr>
          <w:color w:val="000000"/>
          <w:sz w:val="28"/>
          <w:szCs w:val="28"/>
          <w:shd w:val="clear" w:color="auto" w:fill="FFFFFF"/>
        </w:rPr>
        <w:t xml:space="preserve"> Документи подавати в Microsoft Word,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шрифт  Times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розмір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шрифта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14</w:t>
      </w:r>
    </w:p>
    <w:p w:rsidR="004A7FB3" w:rsidRDefault="004A7FB3">
      <w:bookmarkStart w:id="0" w:name="_GoBack"/>
      <w:bookmarkEnd w:id="0"/>
    </w:p>
    <w:sectPr w:rsidR="004A7FB3" w:rsidSect="00CA283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6C"/>
    <w:rsid w:val="00170B6C"/>
    <w:rsid w:val="004A7FB3"/>
    <w:rsid w:val="00C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2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2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llege.nuph.edu.ua/wp-content/uploads/2017/05/osnovy_ohorony_prac.pdf" TargetMode="External"/><Relationship Id="rId5" Type="http://schemas.openxmlformats.org/officeDocument/2006/relationships/hyperlink" Target="http://college.nuph.edu.ua/wp-content/uploads/2017/05/osnovy_ohorony_pra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3851</Words>
  <Characters>2196</Characters>
  <Application>Microsoft Office Word</Application>
  <DocSecurity>0</DocSecurity>
  <Lines>18</Lines>
  <Paragraphs>12</Paragraphs>
  <ScaleCrop>false</ScaleCrop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2020-03-31T07:08:00Z</dcterms:created>
  <dcterms:modified xsi:type="dcterms:W3CDTF">2020-03-31T07:08:00Z</dcterms:modified>
</cp:coreProperties>
</file>