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D9" w:rsidRDefault="00D479D9" w:rsidP="00D4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79D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D479D9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кримінальне право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(Загальна частина)</w:t>
      </w:r>
      <w:r w:rsidRPr="00D479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Факультет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ветеринарної гігієни, екології та права</w:t>
      </w:r>
      <w:r w:rsidRPr="00D479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Кафедра права,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Право, </w:t>
      </w:r>
      <w:r w:rsidRPr="00D479D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Бакалавр, 2 курс</w:t>
      </w:r>
    </w:p>
    <w:p w:rsidR="00D479D9" w:rsidRPr="00D479D9" w:rsidRDefault="00D479D9" w:rsidP="00D4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9D9" w:rsidRDefault="00D479D9" w:rsidP="00D47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479D9">
        <w:rPr>
          <w:rFonts w:ascii="Times New Roman" w:hAnsi="Times New Roman" w:cs="Times New Roman"/>
          <w:sz w:val="28"/>
          <w:szCs w:val="28"/>
          <w:lang w:val="uk-UA" w:eastAsia="uk-UA"/>
        </w:rPr>
        <w:t>Телефанко</w:t>
      </w:r>
      <w:proofErr w:type="spellEnd"/>
      <w:r w:rsidRPr="00D479D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Б.М., </w:t>
      </w:r>
      <w:r w:rsidRPr="00D479D9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D479D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D479D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479D9">
        <w:rPr>
          <w:rFonts w:ascii="Times New Roman" w:hAnsi="Times New Roman" w:cs="Times New Roman"/>
          <w:sz w:val="28"/>
          <w:szCs w:val="28"/>
          <w:lang w:val="uk-UA" w:eastAsia="uk-UA"/>
        </w:rPr>
        <w:t>telefbm@i.ua</w:t>
      </w:r>
      <w:bookmarkStart w:id="0" w:name="_GoBack"/>
      <w:bookmarkEnd w:id="0"/>
    </w:p>
    <w:p w:rsidR="00D479D9" w:rsidRPr="00D479D9" w:rsidRDefault="00D479D9" w:rsidP="00D47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44" w:type="dxa"/>
            <w:vAlign w:val="center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064" w:type="dxa"/>
            <w:vAlign w:val="center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755" w:type="dxa"/>
            <w:vAlign w:val="center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D479D9" w:rsidRPr="00D479D9" w:rsidTr="002938D7">
        <w:trPr>
          <w:trHeight w:val="450"/>
        </w:trPr>
        <w:tc>
          <w:tcPr>
            <w:tcW w:w="14786" w:type="dxa"/>
            <w:gridSpan w:val="4"/>
            <w:vAlign w:val="center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покарання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засади призначення покарання. Обставини, що пом’якшують та обтяжують покарання. Призначення покарання за наявності обставин, що його пом’якшують.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Призначення покарання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покарання за незакінчений злочин та за злочин, учинений у співучасті. Призначення більш м’якого покарання, ніж передбачено законом. Призначення покарання за сукупності злочинів.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Звільнення від покарання та його відбування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звільнення від покарання та його відбування. Систематизація видів звільнення від покарання та його відбування. Звільнення від відбування покарання з випробуванням.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Звільнення від покарання та його відбування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Умовно-дострокове звільнення від відбування покарання. Заміна невідбутої частини покарання більш м’яким. Звільнення від покарання на підставі закону України про амністію або </w:t>
            </w:r>
            <w:proofErr w:type="spellStart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помилування.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>Судимість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природа судимості. Правові наслідки судимості. Форми припинення судимості.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Інші заходи кримінально-правового характеру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та мета примусових заходів медичного характеру. Особи, до яких застосовуються примусові заходи медичного характеру. Види примусових заходів медичного характеру.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Інші заходи кримінально-правового характеру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Продовження, зміна або припинення застосування примусових заходів медичного характеру. Примусове лікування. Спеціальна конфіскація.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>Заходи кримінально-правового характеру щодо юридичних осіб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застосування до юридичних осіб заходів кримінально-правового характеру. Юридичні особи, до яких застосовуються заходи кримінально-правового характеру. Види заходів кримінально-правового характеру, що застосовуються до юридичних осіб.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Особливості кримінальної відповідальності та покарання неповнолітніх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кримінальної відповідальності та покарання неповнолітніх. Особливості звільнення неповнолітніх від кримінальної відповідальності. Види покарань, які застосовуються до неповнолітніх.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Особливості кримінальної відповідальності та покарання неповнолітніх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покарань, які застосовуються до неповнолітніх. Призначення покарань, які застосовуються до неповнолітніх. Звільнення від відбування покарання з випробуванням.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>Питання загальної частини кримінального права зарубіжних держав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 Франції та Німеччини. Кримінальне право Російської Федерації. Кримінальне право Англії та США.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https://ru.wikipedia.org/wiki/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rPr>
          <w:trHeight w:val="509"/>
        </w:trPr>
        <w:tc>
          <w:tcPr>
            <w:tcW w:w="14786" w:type="dxa"/>
            <w:gridSpan w:val="4"/>
            <w:vAlign w:val="center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покарання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покарання у межах, установлених у санкції статті (санкції частини статті) Особливої частини Кримінального кодексу України. Призначення </w:t>
            </w: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покарання відповідно до положень Загальної частини Кримінального кодексу України. Призначення покарання з урахуванням ступеня тяжкості вчиненого злочину. Призначення покарання з урахуванням особи винного.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</w:t>
              </w:r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Призначення покарання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покарання особі, визнаній обмежено осудною. Призначення покарання особі, яка вчинила злочин при виконанні спеціального завдання. Призначення покарання за сукупністю </w:t>
            </w:r>
            <w:proofErr w:type="spellStart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вироків</w:t>
            </w:r>
            <w:proofErr w:type="spellEnd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Правила складання покарань, зарахування строку попереднього ув’язнення та обчислення строків покарання.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Звільнення від покарання та його відбування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від призначеного судом покарання особи, засудженої за діяння, караність якого законом усунена. Звільнення від покарання особи у зв’язку з втратою нею суспільної небезпечності. Звільнення від покарання у зв’язку із закінченням строків давності, встановлених ст.. 49 Кримінального кодексу України. Звільнення від відбування покарання у зв’язку із закінченням строків давності виконання обвинувального </w:t>
            </w:r>
            <w:proofErr w:type="spellStart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вироку</w:t>
            </w:r>
            <w:proofErr w:type="spellEnd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Звільнення від покарання та його відбування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від відбування покарання вагітних жінок і жінок, які мають дітей віком до семи років. Звільнення від відбування покарання з випробуванням вагітних жінок і жінок, які мають дітей віком до трьох років.   Звільнення від покарання за хворобою. 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>Судимість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наслідки судимості. Кримінально-правові наслідки судимості. Кримінально-виконавчі наслідки судимості.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Інші заходи кримінально-правового </w:t>
            </w:r>
            <w:r w:rsidRPr="00D479D9">
              <w:rPr>
                <w:sz w:val="28"/>
                <w:szCs w:val="28"/>
              </w:rPr>
              <w:lastRenderedPageBreak/>
              <w:t xml:space="preserve">характеру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Поняття обмежувальних заходів. Обмежувальні заходи, що застосовуються до осіб, які вчинили домашнє насильство. </w:t>
            </w:r>
            <w:proofErr w:type="spellStart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Пробація</w:t>
            </w:r>
            <w:proofErr w:type="spellEnd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Інші заходи кримінально-правового характеру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амбулаторної психіатричної допомоги в примусовому порядку. Виховні заходи щодо неповнолітніх. Підстави застосування спеціальної конфіскації.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>Заходи кримінально-правового характеру щодо юридичних осіб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Підстави для звільнення юридичної особи від застосування заходів кримінально-правового характеру. Загальні правила застосування до юридичних осіб заходів кримінально-правового характеру. Застосування до юридичних осіб заходів кримінально-правового характеру за сукупністю </w:t>
            </w:r>
            <w:proofErr w:type="spellStart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злчинів</w:t>
            </w:r>
            <w:proofErr w:type="spellEnd"/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Особливості кримінальної відповідальності та покарання неповнолітніх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Звільнення від покарання із застосуванням примусових заходів виховного характеру. Звільнення від кримінальної відповідальності та відбування покарання у зв’язку із закінченням строків давності.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 xml:space="preserve">Особливості кримінальної відповідальності та покарання неповнолітніх 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Умовно-дострокове звільнення від відбування покарання. Особливості погашення судимості щодо неповнолітніх. Особливості зняття судимості щодо неповнолітніх.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https://www.osce.org/uk/project-coordinator-in-ukraine/358166?download=true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  <w:tr w:rsidR="00D479D9" w:rsidRPr="00D479D9" w:rsidTr="002938D7">
        <w:tc>
          <w:tcPr>
            <w:tcW w:w="623" w:type="dxa"/>
          </w:tcPr>
          <w:p w:rsidR="00D479D9" w:rsidRPr="00D479D9" w:rsidRDefault="00D479D9" w:rsidP="00D4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344" w:type="dxa"/>
          </w:tcPr>
          <w:p w:rsidR="00D479D9" w:rsidRPr="00D479D9" w:rsidRDefault="00D479D9" w:rsidP="00D479D9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D479D9">
              <w:rPr>
                <w:sz w:val="28"/>
                <w:szCs w:val="28"/>
              </w:rPr>
              <w:t>Питання загальної частини кримінального права зарубіжних держав</w:t>
            </w:r>
          </w:p>
        </w:tc>
        <w:tc>
          <w:tcPr>
            <w:tcW w:w="7064" w:type="dxa"/>
          </w:tcPr>
          <w:p w:rsidR="00D479D9" w:rsidRPr="00D479D9" w:rsidRDefault="00D479D9" w:rsidP="00D4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кримінального права зарубіжних держав. Школи (основні напрями) науки кримінального права. Сучасні напрями розвитку кримінально-правової науки.</w:t>
            </w:r>
          </w:p>
        </w:tc>
        <w:tc>
          <w:tcPr>
            <w:tcW w:w="4755" w:type="dxa"/>
          </w:tcPr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https://ru.wikipedia.org/wiki/</w:t>
              </w:r>
            </w:hyperlink>
          </w:p>
          <w:p w:rsidR="00D479D9" w:rsidRPr="00D479D9" w:rsidRDefault="00D479D9" w:rsidP="00D479D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Pr="00D479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https://jurkniga.ua/wa-data/public/shop/products/77/04/10477</w:t>
              </w:r>
            </w:hyperlink>
          </w:p>
        </w:tc>
      </w:tr>
    </w:tbl>
    <w:p w:rsidR="00A97EB3" w:rsidRPr="00D479D9" w:rsidRDefault="00A97EB3" w:rsidP="00D479D9">
      <w:pPr>
        <w:spacing w:after="0" w:line="240" w:lineRule="auto"/>
        <w:rPr>
          <w:lang w:val="uk-UA"/>
        </w:rPr>
      </w:pPr>
    </w:p>
    <w:sectPr w:rsidR="00A97EB3" w:rsidRPr="00D479D9" w:rsidSect="00D479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D9"/>
    <w:rsid w:val="0003121C"/>
    <w:rsid w:val="00601813"/>
    <w:rsid w:val="00A97EB3"/>
    <w:rsid w:val="00D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479D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479D9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D47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479D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479D9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D47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341-14" TargetMode="External"/><Relationship Id="rId18" Type="http://schemas.openxmlformats.org/officeDocument/2006/relationships/hyperlink" Target="https://zakon.rada.gov.ua/laws/show/2341-14" TargetMode="External"/><Relationship Id="rId26" Type="http://schemas.openxmlformats.org/officeDocument/2006/relationships/hyperlink" Target="https://www.osce.org/uk/project-coordinator-in-ukraine/358166?download=true" TargetMode="External"/><Relationship Id="rId39" Type="http://schemas.openxmlformats.org/officeDocument/2006/relationships/hyperlink" Target="https://zakon.rada.gov.ua/laws/show/2341-14" TargetMode="External"/><Relationship Id="rId21" Type="http://schemas.openxmlformats.org/officeDocument/2006/relationships/hyperlink" Target="https://zakon.rada.gov.ua/laws/show/2341-14" TargetMode="External"/><Relationship Id="rId34" Type="http://schemas.openxmlformats.org/officeDocument/2006/relationships/hyperlink" Target="https://www.osce.org/uk/project-coordinator-in-ukraine/358166?download=true" TargetMode="External"/><Relationship Id="rId42" Type="http://schemas.openxmlformats.org/officeDocument/2006/relationships/hyperlink" Target="https://jurkniga.ua/wa-data/public/shop/products/77/04/10477" TargetMode="External"/><Relationship Id="rId47" Type="http://schemas.openxmlformats.org/officeDocument/2006/relationships/hyperlink" Target="https://zakon.rada.gov.ua/laws/show/2341-14" TargetMode="External"/><Relationship Id="rId50" Type="http://schemas.openxmlformats.org/officeDocument/2006/relationships/hyperlink" Target="https://www.osce.org/uk/project-coordinator-in-ukraine/358166?download=true" TargetMode="External"/><Relationship Id="rId55" Type="http://schemas.openxmlformats.org/officeDocument/2006/relationships/hyperlink" Target="https://zakon.rada.gov.ua/laws/show/1129-1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zakon.rada.gov.ua/laws/show/2341-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sce.org/uk/project-coordinator-in-ukraine/358166?download=true" TargetMode="External"/><Relationship Id="rId20" Type="http://schemas.openxmlformats.org/officeDocument/2006/relationships/hyperlink" Target="https://jurkniga.ua/wa-data/public/shop/products/77/04/10477" TargetMode="External"/><Relationship Id="rId29" Type="http://schemas.openxmlformats.org/officeDocument/2006/relationships/hyperlink" Target="https://jurkniga.ua/wa-data/public/shop/products/77/04/10477" TargetMode="External"/><Relationship Id="rId41" Type="http://schemas.openxmlformats.org/officeDocument/2006/relationships/hyperlink" Target="https://www.osce.org/uk/project-coordinator-in-ukraine/358166?download=true" TargetMode="External"/><Relationship Id="rId54" Type="http://schemas.openxmlformats.org/officeDocument/2006/relationships/hyperlink" Target="https://zakon.rada.gov.ua/laws/show/2341-14" TargetMode="External"/><Relationship Id="rId62" Type="http://schemas.openxmlformats.org/officeDocument/2006/relationships/hyperlink" Target="https://jurkniga.ua/wa-data/public/shop/products/77/04/1047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sce.org/uk/project-coordinator-in-ukraine/358166?download=true" TargetMode="External"/><Relationship Id="rId11" Type="http://schemas.openxmlformats.org/officeDocument/2006/relationships/hyperlink" Target="https://zakon.rada.gov.ua/laws/show/2341-14" TargetMode="External"/><Relationship Id="rId24" Type="http://schemas.openxmlformats.org/officeDocument/2006/relationships/hyperlink" Target="https://zakon.rada.gov.ua/laws/show/2341-14" TargetMode="External"/><Relationship Id="rId32" Type="http://schemas.openxmlformats.org/officeDocument/2006/relationships/hyperlink" Target="https://jurkniga.ua/wa-data/public/shop/products/77/04/10477" TargetMode="External"/><Relationship Id="rId37" Type="http://schemas.openxmlformats.org/officeDocument/2006/relationships/hyperlink" Target="https://www.osce.org/uk/project-coordinator-in-ukraine/358166?download=true" TargetMode="External"/><Relationship Id="rId40" Type="http://schemas.openxmlformats.org/officeDocument/2006/relationships/hyperlink" Target="https://zakon.rada.gov.ua/laws/show/1129-15" TargetMode="External"/><Relationship Id="rId45" Type="http://schemas.openxmlformats.org/officeDocument/2006/relationships/hyperlink" Target="https://zakon.rada.gov.ua/laws/show/2341-14" TargetMode="External"/><Relationship Id="rId53" Type="http://schemas.openxmlformats.org/officeDocument/2006/relationships/hyperlink" Target="https://jurkniga.ua/wa-data/public/shop/products/77/04/10477" TargetMode="External"/><Relationship Id="rId58" Type="http://schemas.openxmlformats.org/officeDocument/2006/relationships/hyperlink" Target="https://www.osce.org/uk/project-coordinator-in-ukraine/358166?download=true" TargetMode="External"/><Relationship Id="rId5" Type="http://schemas.openxmlformats.org/officeDocument/2006/relationships/hyperlink" Target="https://zakon.rada.gov.ua/laws/show/2341-14" TargetMode="External"/><Relationship Id="rId15" Type="http://schemas.openxmlformats.org/officeDocument/2006/relationships/hyperlink" Target="https://zakon.rada.gov.ua/laws/show/2341-14" TargetMode="External"/><Relationship Id="rId23" Type="http://schemas.openxmlformats.org/officeDocument/2006/relationships/hyperlink" Target="https://jurkniga.ua/wa-data/public/shop/products/77/04/10477" TargetMode="External"/><Relationship Id="rId28" Type="http://schemas.openxmlformats.org/officeDocument/2006/relationships/hyperlink" Target="https://www.osce.org/uk/project-coordinator-in-ukraine/358166?download=true" TargetMode="External"/><Relationship Id="rId36" Type="http://schemas.openxmlformats.org/officeDocument/2006/relationships/hyperlink" Target="https://zakon.rada.gov.ua/laws/show/2341-14" TargetMode="External"/><Relationship Id="rId49" Type="http://schemas.openxmlformats.org/officeDocument/2006/relationships/hyperlink" Target="https://zakon.rada.gov.ua/laws/show/2341-14" TargetMode="External"/><Relationship Id="rId57" Type="http://schemas.openxmlformats.org/officeDocument/2006/relationships/hyperlink" Target="https://zakon.rada.gov.ua/laws/show/2341-14" TargetMode="External"/><Relationship Id="rId61" Type="http://schemas.openxmlformats.org/officeDocument/2006/relationships/hyperlink" Target="https://ru.wikipedia.org/wiki/" TargetMode="External"/><Relationship Id="rId10" Type="http://schemas.openxmlformats.org/officeDocument/2006/relationships/hyperlink" Target="https://www.osce.org/uk/project-coordinator-in-ukraine/358166?download=true" TargetMode="External"/><Relationship Id="rId19" Type="http://schemas.openxmlformats.org/officeDocument/2006/relationships/hyperlink" Target="https://www.osce.org/uk/project-coordinator-in-ukraine/358166?download=true" TargetMode="External"/><Relationship Id="rId31" Type="http://schemas.openxmlformats.org/officeDocument/2006/relationships/hyperlink" Target="https://ru.wikipedia.org/wiki/" TargetMode="External"/><Relationship Id="rId44" Type="http://schemas.openxmlformats.org/officeDocument/2006/relationships/hyperlink" Target="https://www.osce.org/uk/project-coordinator-in-ukraine/358166?download=true" TargetMode="External"/><Relationship Id="rId52" Type="http://schemas.openxmlformats.org/officeDocument/2006/relationships/hyperlink" Target="https://www.osce.org/uk/project-coordinator-in-ukraine/358166?download=true" TargetMode="External"/><Relationship Id="rId60" Type="http://schemas.openxmlformats.org/officeDocument/2006/relationships/hyperlink" Target="https://zakon.rada.gov.ua/laws/show/234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www.osce.org/uk/project-coordinator-in-ukraine/358166?download=true" TargetMode="External"/><Relationship Id="rId22" Type="http://schemas.openxmlformats.org/officeDocument/2006/relationships/hyperlink" Target="https://www.osce.org/uk/project-coordinator-in-ukraine/358166?download=true" TargetMode="External"/><Relationship Id="rId27" Type="http://schemas.openxmlformats.org/officeDocument/2006/relationships/hyperlink" Target="https://zakon.rada.gov.ua/laws/show/2341-14" TargetMode="External"/><Relationship Id="rId30" Type="http://schemas.openxmlformats.org/officeDocument/2006/relationships/hyperlink" Target="https://zakon.rada.gov.ua/laws/show/2341-14" TargetMode="External"/><Relationship Id="rId35" Type="http://schemas.openxmlformats.org/officeDocument/2006/relationships/hyperlink" Target="https://jurkniga.ua/wa-data/public/shop/products/77/04/10477" TargetMode="External"/><Relationship Id="rId43" Type="http://schemas.openxmlformats.org/officeDocument/2006/relationships/hyperlink" Target="https://zakon.rada.gov.ua/laws/show/2341-14" TargetMode="External"/><Relationship Id="rId48" Type="http://schemas.openxmlformats.org/officeDocument/2006/relationships/hyperlink" Target="https://www.osce.org/uk/project-coordinator-in-ukraine/358166?download=true" TargetMode="External"/><Relationship Id="rId56" Type="http://schemas.openxmlformats.org/officeDocument/2006/relationships/hyperlink" Target="https://www.osce.org/uk/project-coordinator-in-ukraine/358166?download=tru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osce.org/uk/project-coordinator-in-ukraine/358166?download=true" TargetMode="External"/><Relationship Id="rId51" Type="http://schemas.openxmlformats.org/officeDocument/2006/relationships/hyperlink" Target="https://zakon.rada.gov.ua/laws/show/2341-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sce.org/uk/project-coordinator-in-ukraine/358166?download=true" TargetMode="External"/><Relationship Id="rId17" Type="http://schemas.openxmlformats.org/officeDocument/2006/relationships/hyperlink" Target="https://jurkniga.ua/wa-data/public/shop/products/77/04/10477" TargetMode="External"/><Relationship Id="rId25" Type="http://schemas.openxmlformats.org/officeDocument/2006/relationships/hyperlink" Target="https://zakon.rada.gov.ua/laws/show/1129-15" TargetMode="External"/><Relationship Id="rId33" Type="http://schemas.openxmlformats.org/officeDocument/2006/relationships/hyperlink" Target="https://zakon.rada.gov.ua/laws/show/2341-14" TargetMode="External"/><Relationship Id="rId38" Type="http://schemas.openxmlformats.org/officeDocument/2006/relationships/hyperlink" Target="https://jurkniga.ua/wa-data/public/shop/products/77/04/10477" TargetMode="External"/><Relationship Id="rId46" Type="http://schemas.openxmlformats.org/officeDocument/2006/relationships/hyperlink" Target="https://www.osce.org/uk/project-coordinator-in-ukraine/358166?download=true" TargetMode="External"/><Relationship Id="rId59" Type="http://schemas.openxmlformats.org/officeDocument/2006/relationships/hyperlink" Target="https://jurkniga.ua/wa-data/public/shop/products/77/04/10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2020-03-31T12:51:00Z</dcterms:created>
  <dcterms:modified xsi:type="dcterms:W3CDTF">2020-03-31T12:56:00Z</dcterms:modified>
</cp:coreProperties>
</file>