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86" w:rsidRPr="007B2E70" w:rsidRDefault="00070486" w:rsidP="007B2E70">
      <w:pPr>
        <w:spacing w:after="0" w:line="240" w:lineRule="auto"/>
        <w:jc w:val="both"/>
        <w:rPr>
          <w:rFonts w:asciiTheme="majorBidi" w:hAnsiTheme="majorBidi" w:cstheme="majorBidi"/>
          <w:b/>
          <w:sz w:val="28"/>
          <w:szCs w:val="28"/>
          <w:lang w:val="uk-UA"/>
        </w:rPr>
      </w:pPr>
      <w:bookmarkStart w:id="0" w:name="_GoBack"/>
      <w:r w:rsidRPr="007B2E70">
        <w:rPr>
          <w:rFonts w:asciiTheme="majorBidi" w:hAnsiTheme="majorBidi" w:cstheme="majorBidi"/>
          <w:b/>
          <w:sz w:val="28"/>
          <w:szCs w:val="28"/>
          <w:lang w:val="uk-UA"/>
        </w:rPr>
        <w:t>«</w:t>
      </w:r>
      <w:r w:rsidR="007B2E70" w:rsidRPr="007B2E70">
        <w:rPr>
          <w:rFonts w:asciiTheme="majorBidi" w:hAnsiTheme="majorBidi" w:cstheme="majorBidi"/>
          <w:b/>
          <w:sz w:val="28"/>
          <w:szCs w:val="28"/>
          <w:lang w:val="uk-UA"/>
        </w:rPr>
        <w:t>ОСНОВИ ПРАВА ЄВРОПЕЙСЬКОГО СОЮЗУ</w:t>
      </w:r>
      <w:r w:rsidRPr="007B2E70">
        <w:rPr>
          <w:rFonts w:asciiTheme="majorBidi" w:hAnsiTheme="majorBidi" w:cstheme="majorBidi"/>
          <w:b/>
          <w:sz w:val="28"/>
          <w:szCs w:val="28"/>
          <w:lang w:val="uk-UA"/>
        </w:rPr>
        <w:t>»</w:t>
      </w:r>
      <w:r w:rsidR="007B2E70">
        <w:rPr>
          <w:rFonts w:asciiTheme="majorBidi" w:hAnsiTheme="majorBidi" w:cstheme="majorBidi"/>
          <w:b/>
          <w:sz w:val="28"/>
          <w:szCs w:val="28"/>
          <w:lang w:val="uk-UA"/>
        </w:rPr>
        <w:t xml:space="preserve"> Ф</w:t>
      </w:r>
      <w:r w:rsidR="007B2E70" w:rsidRPr="007B2E70">
        <w:rPr>
          <w:rFonts w:asciiTheme="majorBidi" w:hAnsiTheme="majorBidi" w:cstheme="majorBidi"/>
          <w:b/>
          <w:sz w:val="28"/>
          <w:szCs w:val="28"/>
          <w:lang w:val="uk-UA"/>
        </w:rPr>
        <w:t xml:space="preserve">акультет ветеринарної гігієни, екології та права, </w:t>
      </w:r>
      <w:r w:rsidR="007B2E70">
        <w:rPr>
          <w:rFonts w:asciiTheme="majorBidi" w:hAnsiTheme="majorBidi" w:cstheme="majorBidi"/>
          <w:b/>
          <w:sz w:val="28"/>
          <w:szCs w:val="28"/>
          <w:lang w:val="uk-UA"/>
        </w:rPr>
        <w:t>К</w:t>
      </w:r>
      <w:r w:rsidR="007B2E70" w:rsidRPr="007B2E70">
        <w:rPr>
          <w:rFonts w:asciiTheme="majorBidi" w:hAnsiTheme="majorBidi" w:cstheme="majorBidi"/>
          <w:b/>
          <w:sz w:val="28"/>
          <w:szCs w:val="28"/>
          <w:lang w:val="uk-UA"/>
        </w:rPr>
        <w:t xml:space="preserve">афедра права, </w:t>
      </w:r>
      <w:r w:rsidR="007B2E70">
        <w:rPr>
          <w:rFonts w:asciiTheme="majorBidi" w:hAnsiTheme="majorBidi" w:cstheme="majorBidi"/>
          <w:b/>
          <w:sz w:val="28"/>
          <w:szCs w:val="28"/>
          <w:lang w:val="uk-UA"/>
        </w:rPr>
        <w:t>П</w:t>
      </w:r>
      <w:r w:rsidR="007B2E70" w:rsidRPr="007B2E70">
        <w:rPr>
          <w:rFonts w:asciiTheme="majorBidi" w:hAnsiTheme="majorBidi" w:cstheme="majorBidi"/>
          <w:b/>
          <w:sz w:val="28"/>
          <w:szCs w:val="28"/>
          <w:lang w:val="uk-UA"/>
        </w:rPr>
        <w:t xml:space="preserve">раво, </w:t>
      </w:r>
      <w:r w:rsidR="007B2E70">
        <w:rPr>
          <w:rFonts w:asciiTheme="majorBidi" w:hAnsiTheme="majorBidi" w:cstheme="majorBidi"/>
          <w:b/>
          <w:sz w:val="28"/>
          <w:szCs w:val="28"/>
          <w:lang w:val="uk-UA"/>
        </w:rPr>
        <w:t>Б</w:t>
      </w:r>
      <w:r w:rsidR="007B2E70" w:rsidRPr="007B2E70">
        <w:rPr>
          <w:rFonts w:asciiTheme="majorBidi" w:hAnsiTheme="majorBidi" w:cstheme="majorBidi"/>
          <w:b/>
          <w:sz w:val="28"/>
          <w:szCs w:val="28"/>
          <w:lang w:val="uk-UA"/>
        </w:rPr>
        <w:t>акалавр, 3 курс</w:t>
      </w:r>
    </w:p>
    <w:bookmarkEnd w:id="0"/>
    <w:p w:rsidR="007B2E70" w:rsidRDefault="007B2E70" w:rsidP="007B2E70">
      <w:pPr>
        <w:spacing w:after="0" w:line="240" w:lineRule="auto"/>
        <w:rPr>
          <w:rFonts w:asciiTheme="majorBidi" w:hAnsiTheme="majorBidi" w:cstheme="majorBidi"/>
          <w:sz w:val="28"/>
          <w:szCs w:val="28"/>
          <w:lang w:val="uk-UA" w:eastAsia="uk-UA"/>
        </w:rPr>
      </w:pPr>
    </w:p>
    <w:p w:rsidR="00070486" w:rsidRDefault="00070486" w:rsidP="007B2E70">
      <w:pPr>
        <w:spacing w:after="0" w:line="240" w:lineRule="auto"/>
        <w:rPr>
          <w:rFonts w:asciiTheme="majorBidi" w:hAnsiTheme="majorBidi" w:cstheme="majorBidi"/>
          <w:sz w:val="28"/>
          <w:szCs w:val="28"/>
          <w:lang w:val="uk-UA" w:eastAsia="uk-UA"/>
        </w:rPr>
      </w:pPr>
      <w:r w:rsidRPr="007B2E70">
        <w:rPr>
          <w:rFonts w:asciiTheme="majorBidi" w:hAnsiTheme="majorBidi" w:cstheme="majorBidi"/>
          <w:sz w:val="28"/>
          <w:szCs w:val="28"/>
          <w:lang w:val="uk-UA" w:eastAsia="uk-UA"/>
        </w:rPr>
        <w:t xml:space="preserve">Андріїв Василь Іванович, </w:t>
      </w:r>
      <w:r w:rsidR="007B2E70">
        <w:rPr>
          <w:rFonts w:asciiTheme="majorBidi" w:hAnsiTheme="majorBidi" w:cstheme="majorBidi"/>
          <w:sz w:val="28"/>
          <w:szCs w:val="28"/>
          <w:lang w:val="en-US" w:eastAsia="uk-UA"/>
        </w:rPr>
        <w:t>e</w:t>
      </w:r>
      <w:r w:rsidR="007B2E70" w:rsidRPr="007B2E70">
        <w:rPr>
          <w:rFonts w:asciiTheme="majorBidi" w:hAnsiTheme="majorBidi" w:cstheme="majorBidi"/>
          <w:sz w:val="28"/>
          <w:szCs w:val="28"/>
          <w:lang w:eastAsia="uk-UA"/>
        </w:rPr>
        <w:t>-</w:t>
      </w:r>
      <w:r w:rsidR="007B2E70">
        <w:rPr>
          <w:rFonts w:asciiTheme="majorBidi" w:hAnsiTheme="majorBidi" w:cstheme="majorBidi"/>
          <w:sz w:val="28"/>
          <w:szCs w:val="28"/>
          <w:lang w:val="en-US" w:eastAsia="uk-UA"/>
        </w:rPr>
        <w:t>mail</w:t>
      </w:r>
      <w:r w:rsidR="007B2E70">
        <w:rPr>
          <w:rFonts w:asciiTheme="majorBidi" w:hAnsiTheme="majorBidi" w:cstheme="majorBidi"/>
          <w:sz w:val="28"/>
          <w:szCs w:val="28"/>
          <w:lang w:val="uk-UA" w:eastAsia="uk-UA"/>
        </w:rPr>
        <w:t xml:space="preserve">: </w:t>
      </w:r>
      <w:r w:rsidR="007B2E70" w:rsidRPr="007B2E70">
        <w:rPr>
          <w:rFonts w:asciiTheme="majorBidi" w:hAnsiTheme="majorBidi" w:cstheme="majorBidi"/>
          <w:sz w:val="28"/>
          <w:szCs w:val="28"/>
          <w:lang w:val="uk-UA" w:eastAsia="uk-UA"/>
        </w:rPr>
        <w:t>andriivv@gmail.com</w:t>
      </w:r>
    </w:p>
    <w:p w:rsidR="007B2E70" w:rsidRPr="007B2E70" w:rsidRDefault="007B2E70" w:rsidP="007B2E70">
      <w:pPr>
        <w:spacing w:after="0" w:line="240" w:lineRule="auto"/>
        <w:rPr>
          <w:rFonts w:asciiTheme="majorBidi" w:hAnsiTheme="majorBidi" w:cstheme="majorBidi"/>
          <w:sz w:val="28"/>
          <w:szCs w:val="28"/>
          <w:lang w:val="uk-UA" w:eastAsia="uk-UA"/>
        </w:rPr>
      </w:pP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749"/>
        <w:gridCol w:w="8080"/>
        <w:gridCol w:w="4252"/>
      </w:tblGrid>
      <w:tr w:rsidR="004438C1" w:rsidRPr="007B2E70" w:rsidTr="007B2E70">
        <w:tc>
          <w:tcPr>
            <w:tcW w:w="584" w:type="dxa"/>
          </w:tcPr>
          <w:p w:rsidR="004438C1" w:rsidRPr="007B2E70" w:rsidRDefault="004438C1"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 з/п</w:t>
            </w:r>
          </w:p>
        </w:tc>
        <w:tc>
          <w:tcPr>
            <w:tcW w:w="2749" w:type="dxa"/>
          </w:tcPr>
          <w:p w:rsidR="004438C1" w:rsidRPr="007B2E70" w:rsidRDefault="004438C1"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Тема</w:t>
            </w:r>
          </w:p>
        </w:tc>
        <w:tc>
          <w:tcPr>
            <w:tcW w:w="8080" w:type="dxa"/>
          </w:tcPr>
          <w:p w:rsidR="004438C1" w:rsidRPr="007B2E70" w:rsidRDefault="004438C1"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Анотація</w:t>
            </w:r>
          </w:p>
        </w:tc>
        <w:tc>
          <w:tcPr>
            <w:tcW w:w="4252" w:type="dxa"/>
          </w:tcPr>
          <w:p w:rsidR="004438C1" w:rsidRPr="007B2E70" w:rsidRDefault="004438C1"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Інтернет-ресурс</w:t>
            </w:r>
          </w:p>
        </w:tc>
      </w:tr>
      <w:tr w:rsidR="004438C1" w:rsidRPr="007B2E70" w:rsidTr="007B2E70">
        <w:tc>
          <w:tcPr>
            <w:tcW w:w="15665" w:type="dxa"/>
            <w:gridSpan w:val="4"/>
          </w:tcPr>
          <w:p w:rsidR="004438C1" w:rsidRPr="007B2E70" w:rsidRDefault="004438C1" w:rsidP="007B2E70">
            <w:pPr>
              <w:spacing w:after="0" w:line="240" w:lineRule="auto"/>
              <w:jc w:val="center"/>
              <w:rPr>
                <w:rFonts w:ascii="Times New Roman" w:hAnsi="Times New Roman" w:cs="Times New Roman"/>
                <w:sz w:val="28"/>
                <w:szCs w:val="28"/>
                <w:lang w:val="uk-UA"/>
              </w:rPr>
            </w:pPr>
            <w:r w:rsidRPr="007B2E70">
              <w:rPr>
                <w:rFonts w:ascii="Times New Roman" w:hAnsi="Times New Roman" w:cs="Times New Roman"/>
                <w:b/>
                <w:bCs/>
                <w:sz w:val="28"/>
                <w:szCs w:val="28"/>
                <w:lang w:val="uk-UA"/>
              </w:rPr>
              <w:t>ЛЕКЦІЙНИЙ КУРС</w:t>
            </w:r>
          </w:p>
        </w:tc>
      </w:tr>
      <w:tr w:rsidR="004438C1" w:rsidRPr="007B2E70" w:rsidTr="007B2E70">
        <w:tc>
          <w:tcPr>
            <w:tcW w:w="584" w:type="dxa"/>
          </w:tcPr>
          <w:p w:rsidR="004438C1" w:rsidRPr="007B2E70" w:rsidRDefault="004438C1"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1</w:t>
            </w:r>
          </w:p>
        </w:tc>
        <w:tc>
          <w:tcPr>
            <w:tcW w:w="2749" w:type="dxa"/>
          </w:tcPr>
          <w:p w:rsidR="004438C1" w:rsidRPr="007B2E70" w:rsidRDefault="00070486" w:rsidP="007B2E70">
            <w:pPr>
              <w:spacing w:after="0" w:line="240" w:lineRule="auto"/>
              <w:rPr>
                <w:rFonts w:asciiTheme="majorBidi" w:hAnsiTheme="majorBidi" w:cstheme="majorBidi"/>
                <w:sz w:val="28"/>
                <w:szCs w:val="28"/>
                <w:lang w:val="uk-UA"/>
              </w:rPr>
            </w:pPr>
            <w:r w:rsidRPr="007B2E70">
              <w:rPr>
                <w:rFonts w:asciiTheme="majorBidi" w:hAnsiTheme="majorBidi" w:cstheme="majorBidi"/>
                <w:sz w:val="28"/>
                <w:szCs w:val="28"/>
                <w:lang w:val="uk-UA"/>
              </w:rPr>
              <w:t xml:space="preserve">Вільне пересування осіб у </w:t>
            </w:r>
            <w:r w:rsidR="007B2E70">
              <w:rPr>
                <w:rFonts w:asciiTheme="majorBidi" w:hAnsiTheme="majorBidi" w:cstheme="majorBidi"/>
                <w:sz w:val="28"/>
                <w:szCs w:val="28"/>
                <w:lang w:val="uk-UA"/>
              </w:rPr>
              <w:t>Європейському Союзі</w:t>
            </w:r>
          </w:p>
        </w:tc>
        <w:tc>
          <w:tcPr>
            <w:tcW w:w="8080" w:type="dxa"/>
          </w:tcPr>
          <w:p w:rsidR="004438C1" w:rsidRPr="007B2E70" w:rsidRDefault="00070486" w:rsidP="007B2E70">
            <w:pPr>
              <w:spacing w:after="0" w:line="240" w:lineRule="auto"/>
              <w:jc w:val="both"/>
              <w:rPr>
                <w:rFonts w:asciiTheme="majorBidi" w:hAnsiTheme="majorBidi" w:cstheme="majorBidi"/>
                <w:sz w:val="28"/>
                <w:szCs w:val="28"/>
                <w:lang w:val="uk-UA"/>
              </w:rPr>
            </w:pPr>
            <w:r w:rsidRPr="007B2E70">
              <w:rPr>
                <w:rFonts w:asciiTheme="majorBidi" w:hAnsiTheme="majorBidi" w:cstheme="majorBidi"/>
                <w:sz w:val="28"/>
                <w:szCs w:val="28"/>
                <w:lang w:val="uk-UA"/>
              </w:rPr>
              <w:t>Засади вільного пересування. Вільне пересування працівників. Коло осіб, що можуть користуватися правом вільного пересування працівників. Право громадян ЄС на вільне пересування у межах ЄС. Однакове ставлення до громадян ЄС та членів їх родин. Право працівників  та їх родин на постійне проживання після закінчення трудових відносин у державі-члені ЄС. Винятки щодо державних службовців. Обмеження вільного пересування громадян ЄС.</w:t>
            </w:r>
          </w:p>
        </w:tc>
        <w:tc>
          <w:tcPr>
            <w:tcW w:w="4252" w:type="dxa"/>
          </w:tcPr>
          <w:p w:rsidR="004438C1" w:rsidRPr="007B2E70" w:rsidRDefault="007B2E70" w:rsidP="007B2E70">
            <w:pPr>
              <w:spacing w:after="0" w:line="240" w:lineRule="auto"/>
              <w:jc w:val="both"/>
              <w:rPr>
                <w:rFonts w:ascii="Times New Roman" w:hAnsi="Times New Roman" w:cs="Times New Roman"/>
                <w:sz w:val="24"/>
                <w:szCs w:val="24"/>
                <w:lang w:val="uk-UA"/>
              </w:rPr>
            </w:pPr>
            <w:hyperlink r:id="rId5" w:history="1">
              <w:r w:rsidR="00070486" w:rsidRPr="007B2E70">
                <w:rPr>
                  <w:rStyle w:val="a3"/>
                  <w:rFonts w:ascii="Times New Roman" w:hAnsi="Times New Roman" w:cs="Times New Roman"/>
                  <w:sz w:val="24"/>
                  <w:szCs w:val="24"/>
                  <w:lang w:val="uk-UA"/>
                </w:rPr>
                <w:t>https://studfile.net/preview/4531283/</w:t>
              </w:r>
            </w:hyperlink>
          </w:p>
        </w:tc>
      </w:tr>
      <w:tr w:rsidR="004438C1" w:rsidRPr="007B2E70" w:rsidTr="007B2E70">
        <w:tc>
          <w:tcPr>
            <w:tcW w:w="584" w:type="dxa"/>
          </w:tcPr>
          <w:p w:rsidR="004438C1" w:rsidRPr="007B2E70" w:rsidRDefault="004438C1"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2</w:t>
            </w:r>
          </w:p>
        </w:tc>
        <w:tc>
          <w:tcPr>
            <w:tcW w:w="2749" w:type="dxa"/>
          </w:tcPr>
          <w:p w:rsidR="004438C1" w:rsidRPr="007B2E70" w:rsidRDefault="00334D27" w:rsidP="007B2E70">
            <w:pPr>
              <w:spacing w:after="0" w:line="240" w:lineRule="auto"/>
              <w:rPr>
                <w:rFonts w:asciiTheme="majorBidi" w:hAnsiTheme="majorBidi" w:cstheme="majorBidi"/>
                <w:sz w:val="28"/>
                <w:szCs w:val="28"/>
                <w:lang w:val="uk-UA"/>
              </w:rPr>
            </w:pPr>
            <w:r w:rsidRPr="007B2E70">
              <w:rPr>
                <w:rFonts w:asciiTheme="majorBidi" w:hAnsiTheme="majorBidi" w:cstheme="majorBidi"/>
                <w:sz w:val="28"/>
                <w:szCs w:val="28"/>
                <w:lang w:val="uk-UA"/>
              </w:rPr>
              <w:t>Свобода руху</w:t>
            </w:r>
            <w:r w:rsidR="007B2E70">
              <w:rPr>
                <w:rFonts w:asciiTheme="majorBidi" w:hAnsiTheme="majorBidi" w:cstheme="majorBidi"/>
                <w:sz w:val="28"/>
                <w:szCs w:val="28"/>
                <w:lang w:val="uk-UA"/>
              </w:rPr>
              <w:t xml:space="preserve"> капіталу в Європейському Союзі</w:t>
            </w:r>
          </w:p>
        </w:tc>
        <w:tc>
          <w:tcPr>
            <w:tcW w:w="8080" w:type="dxa"/>
          </w:tcPr>
          <w:p w:rsidR="004438C1" w:rsidRPr="007B2E70" w:rsidRDefault="00334D27" w:rsidP="007B2E70">
            <w:pPr>
              <w:spacing w:after="0" w:line="240" w:lineRule="auto"/>
              <w:jc w:val="both"/>
              <w:rPr>
                <w:rFonts w:asciiTheme="majorBidi" w:hAnsiTheme="majorBidi" w:cstheme="majorBidi"/>
                <w:sz w:val="28"/>
                <w:szCs w:val="28"/>
                <w:lang w:val="uk-UA"/>
              </w:rPr>
            </w:pPr>
            <w:r w:rsidRPr="007B2E70">
              <w:rPr>
                <w:rFonts w:asciiTheme="majorBidi" w:hAnsiTheme="majorBidi" w:cstheme="majorBidi"/>
                <w:sz w:val="28"/>
                <w:szCs w:val="28"/>
                <w:lang w:val="uk-UA"/>
              </w:rPr>
              <w:t>Поняття капіталу та руху капіталу. Принцип свободи руху капіталу. Винятки (дозволені обмеження) з принципу свободи руху капіталу та їх застосування.</w:t>
            </w:r>
          </w:p>
        </w:tc>
        <w:tc>
          <w:tcPr>
            <w:tcW w:w="4252" w:type="dxa"/>
          </w:tcPr>
          <w:p w:rsidR="004438C1" w:rsidRPr="007B2E70" w:rsidRDefault="007B2E70" w:rsidP="007B2E70">
            <w:pPr>
              <w:spacing w:after="0" w:line="240" w:lineRule="auto"/>
              <w:jc w:val="both"/>
              <w:rPr>
                <w:rFonts w:ascii="Times New Roman" w:hAnsi="Times New Roman" w:cs="Times New Roman"/>
                <w:sz w:val="24"/>
                <w:szCs w:val="24"/>
                <w:lang w:val="uk-UA"/>
              </w:rPr>
            </w:pPr>
            <w:hyperlink r:id="rId6" w:history="1">
              <w:r w:rsidR="00334D27" w:rsidRPr="007B2E70">
                <w:rPr>
                  <w:rStyle w:val="a3"/>
                  <w:rFonts w:ascii="Times New Roman" w:hAnsi="Times New Roman" w:cs="Times New Roman"/>
                  <w:sz w:val="24"/>
                  <w:szCs w:val="24"/>
                  <w:lang w:val="uk-UA"/>
                </w:rPr>
                <w:t>https://studfile.net/preview/4531284/</w:t>
              </w:r>
            </w:hyperlink>
          </w:p>
        </w:tc>
      </w:tr>
      <w:tr w:rsidR="004438C1" w:rsidRPr="007B2E70" w:rsidTr="007B2E70">
        <w:tc>
          <w:tcPr>
            <w:tcW w:w="584" w:type="dxa"/>
          </w:tcPr>
          <w:p w:rsidR="004438C1" w:rsidRPr="007B2E70" w:rsidRDefault="004438C1"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3</w:t>
            </w:r>
          </w:p>
        </w:tc>
        <w:tc>
          <w:tcPr>
            <w:tcW w:w="2749" w:type="dxa"/>
          </w:tcPr>
          <w:p w:rsidR="004438C1" w:rsidRPr="007B2E70" w:rsidRDefault="00334D27" w:rsidP="007B2E70">
            <w:pPr>
              <w:spacing w:after="0" w:line="240" w:lineRule="auto"/>
              <w:rPr>
                <w:rFonts w:ascii="Times New Roman" w:hAnsi="Times New Roman" w:cs="Times New Roman"/>
                <w:sz w:val="28"/>
                <w:szCs w:val="28"/>
                <w:lang w:val="uk-UA"/>
              </w:rPr>
            </w:pPr>
            <w:r w:rsidRPr="007B2E70">
              <w:rPr>
                <w:rFonts w:asciiTheme="majorBidi" w:hAnsiTheme="majorBidi" w:cstheme="majorBidi"/>
                <w:sz w:val="28"/>
                <w:szCs w:val="28"/>
                <w:lang w:val="uk-UA"/>
              </w:rPr>
              <w:t>Вільний рух товарів у Європейському Союзі</w:t>
            </w:r>
          </w:p>
        </w:tc>
        <w:tc>
          <w:tcPr>
            <w:tcW w:w="8080" w:type="dxa"/>
          </w:tcPr>
          <w:p w:rsidR="004438C1" w:rsidRPr="007B2E70" w:rsidRDefault="00334D27" w:rsidP="007B2E70">
            <w:pPr>
              <w:spacing w:after="0" w:line="240" w:lineRule="auto"/>
              <w:jc w:val="both"/>
              <w:rPr>
                <w:rFonts w:asciiTheme="majorBidi" w:hAnsiTheme="majorBidi" w:cstheme="majorBidi"/>
                <w:sz w:val="28"/>
                <w:szCs w:val="28"/>
                <w:lang w:val="uk-UA"/>
              </w:rPr>
            </w:pPr>
            <w:r w:rsidRPr="007B2E70">
              <w:rPr>
                <w:rFonts w:asciiTheme="majorBidi" w:hAnsiTheme="majorBidi" w:cstheme="majorBidi"/>
                <w:sz w:val="28"/>
                <w:szCs w:val="28"/>
                <w:lang w:val="uk-UA"/>
              </w:rPr>
              <w:t>Внутрішній ринок Європейського Союзу. Фіскальні заходи Європейського Союзу. Митний союз. Заборона мита на імпорт та експорт до ЄС та всіх зборів, що мають еквівалентний ефект. Заборона дискримінаційного оподаткування. Нефіскальні заходи Європейського Союзу. Кількісні обмеження та заходи, що мають еквівалентний ефект.</w:t>
            </w:r>
          </w:p>
        </w:tc>
        <w:tc>
          <w:tcPr>
            <w:tcW w:w="4252" w:type="dxa"/>
          </w:tcPr>
          <w:p w:rsidR="004438C1" w:rsidRPr="007B2E70" w:rsidRDefault="007B2E70" w:rsidP="007B2E70">
            <w:pPr>
              <w:spacing w:after="0" w:line="240" w:lineRule="auto"/>
              <w:jc w:val="both"/>
              <w:rPr>
                <w:rFonts w:ascii="Times New Roman" w:hAnsi="Times New Roman" w:cs="Times New Roman"/>
                <w:sz w:val="24"/>
                <w:szCs w:val="24"/>
                <w:lang w:val="uk-UA"/>
              </w:rPr>
            </w:pPr>
            <w:hyperlink r:id="rId7" w:history="1">
              <w:r w:rsidR="00334D27" w:rsidRPr="007B2E70">
                <w:rPr>
                  <w:rStyle w:val="a3"/>
                  <w:rFonts w:ascii="Times New Roman" w:hAnsi="Times New Roman" w:cs="Times New Roman"/>
                  <w:sz w:val="24"/>
                  <w:szCs w:val="24"/>
                  <w:lang w:val="uk-UA"/>
                </w:rPr>
                <w:t>https://studfile.net/preview/4531276/</w:t>
              </w:r>
            </w:hyperlink>
          </w:p>
        </w:tc>
      </w:tr>
      <w:tr w:rsidR="004438C1" w:rsidRPr="007B2E70" w:rsidTr="007B2E70">
        <w:tc>
          <w:tcPr>
            <w:tcW w:w="584" w:type="dxa"/>
          </w:tcPr>
          <w:p w:rsidR="004438C1" w:rsidRPr="007B2E70" w:rsidRDefault="004438C1"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4</w:t>
            </w:r>
          </w:p>
        </w:tc>
        <w:tc>
          <w:tcPr>
            <w:tcW w:w="2749" w:type="dxa"/>
          </w:tcPr>
          <w:p w:rsidR="004438C1" w:rsidRPr="007B2E70" w:rsidRDefault="00902F81" w:rsidP="007B2E70">
            <w:pPr>
              <w:spacing w:after="0" w:line="240" w:lineRule="auto"/>
              <w:rPr>
                <w:rFonts w:ascii="Times New Roman" w:hAnsi="Times New Roman" w:cs="Times New Roman"/>
                <w:sz w:val="28"/>
                <w:szCs w:val="28"/>
                <w:lang w:val="uk-UA"/>
              </w:rPr>
            </w:pPr>
            <w:r w:rsidRPr="007B2E70">
              <w:rPr>
                <w:rFonts w:ascii="Times New Roman" w:hAnsi="Times New Roman" w:cs="Times New Roman"/>
                <w:sz w:val="28"/>
                <w:szCs w:val="28"/>
                <w:lang w:val="uk-UA"/>
              </w:rPr>
              <w:t xml:space="preserve">Спільна торговельна політика Європейського </w:t>
            </w:r>
            <w:r w:rsidR="007B2E70">
              <w:rPr>
                <w:rFonts w:ascii="Times New Roman" w:hAnsi="Times New Roman" w:cs="Times New Roman"/>
                <w:sz w:val="28"/>
                <w:szCs w:val="28"/>
                <w:lang w:val="uk-UA"/>
              </w:rPr>
              <w:lastRenderedPageBreak/>
              <w:t>Союзу</w:t>
            </w:r>
          </w:p>
        </w:tc>
        <w:tc>
          <w:tcPr>
            <w:tcW w:w="8080" w:type="dxa"/>
          </w:tcPr>
          <w:p w:rsidR="004438C1" w:rsidRPr="007B2E70" w:rsidRDefault="005D10F8" w:rsidP="007B2E70">
            <w:pPr>
              <w:spacing w:after="0" w:line="240" w:lineRule="auto"/>
              <w:jc w:val="both"/>
              <w:rPr>
                <w:rFonts w:ascii="Times New Roman" w:hAnsi="Times New Roman" w:cs="Times New Roman"/>
                <w:sz w:val="28"/>
                <w:szCs w:val="28"/>
                <w:lang w:val="uk-UA"/>
              </w:rPr>
            </w:pPr>
            <w:proofErr w:type="spellStart"/>
            <w:r w:rsidRPr="007B2E70">
              <w:rPr>
                <w:rFonts w:ascii="Times New Roman" w:hAnsi="Times New Roman" w:cs="Times New Roman"/>
                <w:sz w:val="28"/>
                <w:szCs w:val="28"/>
                <w:lang w:val="uk-UA"/>
              </w:rPr>
              <w:lastRenderedPageBreak/>
              <w:t>Генеза</w:t>
            </w:r>
            <w:proofErr w:type="spellEnd"/>
            <w:r w:rsidRPr="007B2E70">
              <w:rPr>
                <w:rFonts w:ascii="Times New Roman" w:hAnsi="Times New Roman" w:cs="Times New Roman"/>
                <w:sz w:val="28"/>
                <w:szCs w:val="28"/>
                <w:lang w:val="uk-UA"/>
              </w:rPr>
              <w:t xml:space="preserve"> спільної торговельної політики та митного права ЄС. Митний союз та митна територія ЄС. Виключна компетенція ЄС у сфері спільної торговельної політики. </w:t>
            </w:r>
          </w:p>
        </w:tc>
        <w:tc>
          <w:tcPr>
            <w:tcW w:w="4252" w:type="dxa"/>
          </w:tcPr>
          <w:p w:rsidR="004438C1" w:rsidRPr="007B2E70" w:rsidRDefault="007B2E70" w:rsidP="007B2E70">
            <w:pPr>
              <w:spacing w:after="0" w:line="240" w:lineRule="auto"/>
              <w:jc w:val="both"/>
              <w:rPr>
                <w:rFonts w:ascii="Times New Roman" w:hAnsi="Times New Roman" w:cs="Times New Roman"/>
                <w:sz w:val="24"/>
                <w:szCs w:val="24"/>
                <w:lang w:val="uk-UA"/>
              </w:rPr>
            </w:pPr>
            <w:hyperlink r:id="rId8" w:history="1">
              <w:r w:rsidR="005D10F8" w:rsidRPr="007B2E70">
                <w:rPr>
                  <w:rStyle w:val="a3"/>
                  <w:rFonts w:ascii="Times New Roman" w:hAnsi="Times New Roman" w:cs="Times New Roman"/>
                  <w:sz w:val="24"/>
                  <w:szCs w:val="24"/>
                  <w:lang w:val="uk-UA"/>
                </w:rPr>
                <w:t>https://pidruchniki.com/1436010648577/pravo/spilna_torgovelna_politika_yevropeyskogo_soyuzu</w:t>
              </w:r>
            </w:hyperlink>
          </w:p>
        </w:tc>
      </w:tr>
      <w:tr w:rsidR="005D10F8" w:rsidRPr="007B2E70" w:rsidTr="007B2E70">
        <w:tc>
          <w:tcPr>
            <w:tcW w:w="584" w:type="dxa"/>
          </w:tcPr>
          <w:p w:rsidR="005D10F8" w:rsidRPr="007B2E70" w:rsidRDefault="005D10F8"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lastRenderedPageBreak/>
              <w:t>5</w:t>
            </w:r>
          </w:p>
        </w:tc>
        <w:tc>
          <w:tcPr>
            <w:tcW w:w="2749" w:type="dxa"/>
          </w:tcPr>
          <w:p w:rsidR="005D10F8" w:rsidRPr="007B2E70" w:rsidRDefault="008A5084" w:rsidP="007B2E70">
            <w:pPr>
              <w:spacing w:after="0" w:line="240" w:lineRule="auto"/>
              <w:rPr>
                <w:rFonts w:ascii="Times New Roman" w:hAnsi="Times New Roman" w:cs="Times New Roman"/>
                <w:sz w:val="28"/>
                <w:szCs w:val="28"/>
                <w:lang w:val="uk-UA"/>
              </w:rPr>
            </w:pPr>
            <w:r w:rsidRPr="007B2E70">
              <w:rPr>
                <w:rFonts w:ascii="Times New Roman" w:hAnsi="Times New Roman" w:cs="Times New Roman"/>
                <w:sz w:val="28"/>
                <w:szCs w:val="28"/>
                <w:lang w:val="uk-UA"/>
              </w:rPr>
              <w:t>Конкурент</w:t>
            </w:r>
            <w:r w:rsidR="007B2E70">
              <w:rPr>
                <w:rFonts w:ascii="Times New Roman" w:hAnsi="Times New Roman" w:cs="Times New Roman"/>
                <w:sz w:val="28"/>
                <w:szCs w:val="28"/>
                <w:lang w:val="uk-UA"/>
              </w:rPr>
              <w:t>на політика Європейського Союзу</w:t>
            </w:r>
          </w:p>
        </w:tc>
        <w:tc>
          <w:tcPr>
            <w:tcW w:w="8080" w:type="dxa"/>
          </w:tcPr>
          <w:p w:rsidR="005D10F8" w:rsidRPr="007B2E70" w:rsidRDefault="008A5084" w:rsidP="007B2E70">
            <w:pPr>
              <w:spacing w:after="0" w:line="240" w:lineRule="auto"/>
              <w:jc w:val="both"/>
              <w:rPr>
                <w:rFonts w:ascii="Times New Roman" w:hAnsi="Times New Roman" w:cs="Times New Roman"/>
                <w:sz w:val="28"/>
                <w:szCs w:val="28"/>
                <w:lang w:val="uk-UA"/>
              </w:rPr>
            </w:pPr>
            <w:r w:rsidRPr="007B2E70">
              <w:rPr>
                <w:rFonts w:ascii="Times New Roman" w:hAnsi="Times New Roman" w:cs="Times New Roman"/>
                <w:sz w:val="28"/>
                <w:szCs w:val="28"/>
                <w:lang w:val="uk-UA"/>
              </w:rPr>
              <w:t>Основні засади, принципи та джерела конкуренції Європейського Союзу. Правила конкуренції, що застосовуються до суб’єктів підприємницької діяльності. Поняття підприємств в праві ЄС. Доктрина єдиного економічного суб’єкта господарювання в праві ЄС.</w:t>
            </w:r>
          </w:p>
        </w:tc>
        <w:tc>
          <w:tcPr>
            <w:tcW w:w="4252" w:type="dxa"/>
          </w:tcPr>
          <w:p w:rsidR="005D10F8" w:rsidRPr="007B2E70" w:rsidRDefault="007B2E70" w:rsidP="007B2E70">
            <w:pPr>
              <w:spacing w:after="0" w:line="240" w:lineRule="auto"/>
              <w:jc w:val="both"/>
              <w:rPr>
                <w:rFonts w:ascii="Times New Roman" w:hAnsi="Times New Roman" w:cs="Times New Roman"/>
                <w:sz w:val="24"/>
                <w:szCs w:val="24"/>
                <w:lang w:val="uk-UA"/>
              </w:rPr>
            </w:pPr>
            <w:hyperlink r:id="rId9" w:history="1">
              <w:r w:rsidR="008A5084" w:rsidRPr="007B2E70">
                <w:rPr>
                  <w:rStyle w:val="a3"/>
                  <w:rFonts w:ascii="Times New Roman" w:hAnsi="Times New Roman" w:cs="Times New Roman"/>
                  <w:sz w:val="24"/>
                  <w:szCs w:val="24"/>
                  <w:lang w:val="uk-UA"/>
                </w:rPr>
                <w:t>https://studfile.net/preview/5694425/</w:t>
              </w:r>
            </w:hyperlink>
          </w:p>
          <w:p w:rsidR="008A5084" w:rsidRPr="007B2E70" w:rsidRDefault="007B2E70" w:rsidP="007B2E70">
            <w:pPr>
              <w:spacing w:after="0" w:line="240" w:lineRule="auto"/>
              <w:jc w:val="both"/>
              <w:rPr>
                <w:rFonts w:ascii="Times New Roman" w:hAnsi="Times New Roman" w:cs="Times New Roman"/>
                <w:sz w:val="24"/>
                <w:szCs w:val="24"/>
                <w:lang w:val="uk-UA"/>
              </w:rPr>
            </w:pPr>
            <w:hyperlink r:id="rId10" w:history="1">
              <w:r w:rsidR="008A5084" w:rsidRPr="007B2E70">
                <w:rPr>
                  <w:rStyle w:val="a3"/>
                  <w:rFonts w:ascii="Times New Roman" w:hAnsi="Times New Roman" w:cs="Times New Roman"/>
                  <w:sz w:val="24"/>
                  <w:szCs w:val="24"/>
                  <w:lang w:val="uk-UA"/>
                </w:rPr>
                <w:t>https://studfile.net/preview/5080133/</w:t>
              </w:r>
            </w:hyperlink>
          </w:p>
          <w:p w:rsidR="008A5084" w:rsidRPr="007B2E70" w:rsidRDefault="007B2E70" w:rsidP="007B2E70">
            <w:pPr>
              <w:spacing w:after="0" w:line="240" w:lineRule="auto"/>
              <w:jc w:val="both"/>
              <w:rPr>
                <w:rFonts w:ascii="Times New Roman" w:hAnsi="Times New Roman" w:cs="Times New Roman"/>
                <w:sz w:val="24"/>
                <w:szCs w:val="24"/>
                <w:lang w:val="uk-UA"/>
              </w:rPr>
            </w:pPr>
            <w:hyperlink r:id="rId11" w:history="1">
              <w:r w:rsidR="008A5084" w:rsidRPr="007B2E70">
                <w:rPr>
                  <w:rStyle w:val="a3"/>
                  <w:rFonts w:ascii="Times New Roman" w:hAnsi="Times New Roman" w:cs="Times New Roman"/>
                  <w:sz w:val="24"/>
                  <w:szCs w:val="24"/>
                  <w:lang w:val="uk-UA"/>
                </w:rPr>
                <w:t>http://posibniki.com.ua/post-konkurentna-politika</w:t>
              </w:r>
            </w:hyperlink>
          </w:p>
        </w:tc>
      </w:tr>
      <w:tr w:rsidR="00C960C6" w:rsidRPr="007B2E70" w:rsidTr="007B2E70">
        <w:tc>
          <w:tcPr>
            <w:tcW w:w="584" w:type="dxa"/>
          </w:tcPr>
          <w:p w:rsidR="00C960C6" w:rsidRPr="007B2E70" w:rsidRDefault="00C960C6"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6</w:t>
            </w:r>
          </w:p>
        </w:tc>
        <w:tc>
          <w:tcPr>
            <w:tcW w:w="2749" w:type="dxa"/>
          </w:tcPr>
          <w:p w:rsidR="00C960C6" w:rsidRPr="007B2E70" w:rsidRDefault="00825DE2" w:rsidP="007B2E70">
            <w:pPr>
              <w:spacing w:after="0" w:line="240" w:lineRule="auto"/>
              <w:rPr>
                <w:rFonts w:ascii="Times New Roman" w:hAnsi="Times New Roman" w:cs="Times New Roman"/>
                <w:sz w:val="28"/>
                <w:szCs w:val="28"/>
                <w:lang w:val="uk-UA"/>
              </w:rPr>
            </w:pPr>
            <w:r w:rsidRPr="007B2E70">
              <w:rPr>
                <w:rFonts w:ascii="Times New Roman" w:hAnsi="Times New Roman" w:cs="Times New Roman"/>
                <w:sz w:val="28"/>
                <w:szCs w:val="28"/>
                <w:lang w:val="uk-UA"/>
              </w:rPr>
              <w:t>Захист прав с</w:t>
            </w:r>
            <w:r w:rsidR="007B2E70">
              <w:rPr>
                <w:rFonts w:ascii="Times New Roman" w:hAnsi="Times New Roman" w:cs="Times New Roman"/>
                <w:sz w:val="28"/>
                <w:szCs w:val="28"/>
                <w:lang w:val="uk-UA"/>
              </w:rPr>
              <w:t>поживачів у Європейському Союзі</w:t>
            </w:r>
          </w:p>
        </w:tc>
        <w:tc>
          <w:tcPr>
            <w:tcW w:w="8080" w:type="dxa"/>
          </w:tcPr>
          <w:p w:rsidR="00C960C6" w:rsidRPr="007B2E70" w:rsidRDefault="00825DE2" w:rsidP="007B2E70">
            <w:pPr>
              <w:spacing w:after="0" w:line="240" w:lineRule="auto"/>
              <w:jc w:val="both"/>
              <w:rPr>
                <w:rFonts w:ascii="Times New Roman" w:hAnsi="Times New Roman" w:cs="Times New Roman"/>
                <w:sz w:val="28"/>
                <w:szCs w:val="28"/>
                <w:lang w:val="uk-UA"/>
              </w:rPr>
            </w:pPr>
            <w:r w:rsidRPr="007B2E70">
              <w:rPr>
                <w:rFonts w:ascii="Times New Roman" w:hAnsi="Times New Roman" w:cs="Times New Roman"/>
                <w:sz w:val="28"/>
                <w:szCs w:val="28"/>
                <w:lang w:val="uk-UA"/>
              </w:rPr>
              <w:t>Історія становлення захисту прав споживачів у ЄС. Загальна характеристика</w:t>
            </w:r>
            <w:r w:rsidR="009A14CF" w:rsidRPr="007B2E70">
              <w:rPr>
                <w:rFonts w:ascii="Times New Roman" w:hAnsi="Times New Roman" w:cs="Times New Roman"/>
                <w:sz w:val="28"/>
                <w:szCs w:val="28"/>
                <w:lang w:val="uk-UA"/>
              </w:rPr>
              <w:t xml:space="preserve"> спільної політики щодо захисту прав споживачів у ЄС. Система органів Європейського Союзу із захисту прав споживачів. Регулювання безпеки продуктів у ЄС.</w:t>
            </w:r>
          </w:p>
        </w:tc>
        <w:tc>
          <w:tcPr>
            <w:tcW w:w="4252" w:type="dxa"/>
          </w:tcPr>
          <w:p w:rsidR="00C960C6" w:rsidRPr="007B2E70" w:rsidRDefault="007B2E70" w:rsidP="007B2E70">
            <w:pPr>
              <w:spacing w:after="0" w:line="240" w:lineRule="auto"/>
              <w:jc w:val="both"/>
              <w:rPr>
                <w:rFonts w:ascii="Times New Roman" w:hAnsi="Times New Roman" w:cs="Times New Roman"/>
                <w:sz w:val="24"/>
                <w:szCs w:val="24"/>
                <w:lang w:val="uk-UA"/>
              </w:rPr>
            </w:pPr>
            <w:hyperlink r:id="rId12" w:history="1">
              <w:r w:rsidR="009A14CF" w:rsidRPr="007B2E70">
                <w:rPr>
                  <w:rStyle w:val="a3"/>
                  <w:rFonts w:ascii="Times New Roman" w:hAnsi="Times New Roman" w:cs="Times New Roman"/>
                  <w:sz w:val="24"/>
                  <w:szCs w:val="24"/>
                  <w:lang w:val="uk-UA"/>
                </w:rPr>
                <w:t>https://feao.org.ua/wp-content/uploads/2016/04/FEAO_Zahyst_prav_A5_web.pdf</w:t>
              </w:r>
            </w:hyperlink>
          </w:p>
        </w:tc>
      </w:tr>
      <w:tr w:rsidR="009A14CF" w:rsidRPr="007B2E70" w:rsidTr="007B2E70">
        <w:tc>
          <w:tcPr>
            <w:tcW w:w="584" w:type="dxa"/>
          </w:tcPr>
          <w:p w:rsidR="009A14CF" w:rsidRPr="007B2E70" w:rsidRDefault="009A14CF"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7</w:t>
            </w:r>
          </w:p>
        </w:tc>
        <w:tc>
          <w:tcPr>
            <w:tcW w:w="2749" w:type="dxa"/>
          </w:tcPr>
          <w:p w:rsidR="009A14CF" w:rsidRPr="007B2E70" w:rsidRDefault="0032449F" w:rsidP="007B2E70">
            <w:pPr>
              <w:spacing w:after="0" w:line="240" w:lineRule="auto"/>
              <w:rPr>
                <w:rFonts w:ascii="Times New Roman" w:hAnsi="Times New Roman" w:cs="Times New Roman"/>
                <w:sz w:val="28"/>
                <w:szCs w:val="28"/>
                <w:lang w:val="uk-UA"/>
              </w:rPr>
            </w:pPr>
            <w:r w:rsidRPr="007B2E70">
              <w:rPr>
                <w:rFonts w:ascii="Times New Roman" w:hAnsi="Times New Roman" w:cs="Times New Roman"/>
                <w:sz w:val="28"/>
                <w:szCs w:val="28"/>
                <w:lang w:val="uk-UA"/>
              </w:rPr>
              <w:t>Г</w:t>
            </w:r>
            <w:r w:rsidR="007B2E70">
              <w:rPr>
                <w:rFonts w:ascii="Times New Roman" w:hAnsi="Times New Roman" w:cs="Times New Roman"/>
                <w:sz w:val="28"/>
                <w:szCs w:val="28"/>
                <w:lang w:val="uk-UA"/>
              </w:rPr>
              <w:t>ромадянство Європейського Союзу</w:t>
            </w:r>
          </w:p>
        </w:tc>
        <w:tc>
          <w:tcPr>
            <w:tcW w:w="8080" w:type="dxa"/>
          </w:tcPr>
          <w:p w:rsidR="009A14CF" w:rsidRPr="007B2E70" w:rsidRDefault="0032449F" w:rsidP="007B2E70">
            <w:pPr>
              <w:spacing w:after="0" w:line="240" w:lineRule="auto"/>
              <w:jc w:val="both"/>
              <w:rPr>
                <w:rFonts w:ascii="Times New Roman" w:hAnsi="Times New Roman" w:cs="Times New Roman"/>
                <w:sz w:val="28"/>
                <w:szCs w:val="28"/>
                <w:lang w:val="uk-UA"/>
              </w:rPr>
            </w:pPr>
            <w:r w:rsidRPr="007B2E70">
              <w:rPr>
                <w:rFonts w:ascii="Times New Roman" w:hAnsi="Times New Roman" w:cs="Times New Roman"/>
                <w:sz w:val="28"/>
                <w:szCs w:val="28"/>
                <w:lang w:val="uk-UA"/>
              </w:rPr>
              <w:t>Правові засади громадянства Європейського Союзу. Права громадян Європейського Союзу. Співвідношення прав громадян ЄС та громадян третіх країн.</w:t>
            </w:r>
          </w:p>
        </w:tc>
        <w:tc>
          <w:tcPr>
            <w:tcW w:w="4252" w:type="dxa"/>
          </w:tcPr>
          <w:p w:rsidR="009A14CF" w:rsidRPr="007B2E70" w:rsidRDefault="007B2E70" w:rsidP="007B2E70">
            <w:pPr>
              <w:spacing w:after="0" w:line="240" w:lineRule="auto"/>
              <w:jc w:val="both"/>
              <w:rPr>
                <w:rFonts w:ascii="Times New Roman" w:hAnsi="Times New Roman" w:cs="Times New Roman"/>
                <w:sz w:val="24"/>
                <w:szCs w:val="24"/>
                <w:lang w:val="uk-UA"/>
              </w:rPr>
            </w:pPr>
            <w:hyperlink r:id="rId13" w:history="1">
              <w:r w:rsidR="0032449F" w:rsidRPr="007B2E70">
                <w:rPr>
                  <w:rStyle w:val="a3"/>
                  <w:rFonts w:ascii="Times New Roman" w:hAnsi="Times New Roman" w:cs="Times New Roman"/>
                  <w:sz w:val="24"/>
                  <w:szCs w:val="24"/>
                  <w:lang w:val="uk-UA"/>
                </w:rPr>
                <w:t>https://studfile.net/preview/5129580/page:28/</w:t>
              </w:r>
            </w:hyperlink>
          </w:p>
        </w:tc>
      </w:tr>
      <w:tr w:rsidR="004438C1" w:rsidRPr="007B2E70" w:rsidTr="007B2E70">
        <w:tc>
          <w:tcPr>
            <w:tcW w:w="15665" w:type="dxa"/>
            <w:gridSpan w:val="4"/>
          </w:tcPr>
          <w:p w:rsidR="004438C1" w:rsidRPr="007B2E70" w:rsidRDefault="004438C1"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САМОСТІЙНА РОБОТА</w:t>
            </w:r>
          </w:p>
        </w:tc>
      </w:tr>
      <w:tr w:rsidR="004438C1" w:rsidRPr="007B2E70" w:rsidTr="007B2E70">
        <w:tc>
          <w:tcPr>
            <w:tcW w:w="584" w:type="dxa"/>
          </w:tcPr>
          <w:p w:rsidR="004438C1" w:rsidRPr="007B2E70" w:rsidRDefault="004438C1"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1</w:t>
            </w:r>
          </w:p>
        </w:tc>
        <w:tc>
          <w:tcPr>
            <w:tcW w:w="2749" w:type="dxa"/>
          </w:tcPr>
          <w:p w:rsidR="004438C1" w:rsidRPr="007B2E70" w:rsidRDefault="0032449F" w:rsidP="007B2E70">
            <w:pPr>
              <w:spacing w:after="0" w:line="240" w:lineRule="auto"/>
              <w:rPr>
                <w:rFonts w:ascii="Times New Roman" w:hAnsi="Times New Roman" w:cs="Times New Roman"/>
                <w:sz w:val="28"/>
                <w:szCs w:val="28"/>
                <w:lang w:val="uk-UA"/>
              </w:rPr>
            </w:pPr>
            <w:r w:rsidRPr="007B2E70">
              <w:rPr>
                <w:rFonts w:asciiTheme="majorBidi" w:hAnsiTheme="majorBidi" w:cstheme="majorBidi"/>
                <w:sz w:val="28"/>
                <w:szCs w:val="28"/>
                <w:lang w:val="uk-UA"/>
              </w:rPr>
              <w:t>Вільне пересув</w:t>
            </w:r>
            <w:r w:rsidR="007B2E70">
              <w:rPr>
                <w:rFonts w:asciiTheme="majorBidi" w:hAnsiTheme="majorBidi" w:cstheme="majorBidi"/>
                <w:sz w:val="28"/>
                <w:szCs w:val="28"/>
                <w:lang w:val="uk-UA"/>
              </w:rPr>
              <w:t>ання осіб у Європейському Союзі</w:t>
            </w:r>
          </w:p>
        </w:tc>
        <w:tc>
          <w:tcPr>
            <w:tcW w:w="8080" w:type="dxa"/>
          </w:tcPr>
          <w:p w:rsidR="004438C1" w:rsidRPr="007B2E70" w:rsidRDefault="0032449F" w:rsidP="007B2E70">
            <w:pPr>
              <w:spacing w:after="0" w:line="240" w:lineRule="auto"/>
              <w:jc w:val="both"/>
              <w:rPr>
                <w:rFonts w:asciiTheme="majorBidi" w:hAnsiTheme="majorBidi" w:cstheme="majorBidi"/>
                <w:sz w:val="28"/>
                <w:szCs w:val="28"/>
                <w:lang w:val="uk-UA"/>
              </w:rPr>
            </w:pPr>
            <w:r w:rsidRPr="007B2E70">
              <w:rPr>
                <w:rFonts w:asciiTheme="majorBidi" w:hAnsiTheme="majorBidi" w:cstheme="majorBidi"/>
                <w:sz w:val="28"/>
                <w:szCs w:val="28"/>
                <w:lang w:val="uk-UA"/>
              </w:rPr>
              <w:t>Процесуальні гарантії вільного пересування громадян ЄС. Свобода ділового заснування в Європейському Союзі. Свобода надання та отримання послуг.</w:t>
            </w:r>
          </w:p>
        </w:tc>
        <w:tc>
          <w:tcPr>
            <w:tcW w:w="4252" w:type="dxa"/>
          </w:tcPr>
          <w:p w:rsidR="004438C1" w:rsidRPr="007B2E70" w:rsidRDefault="007B2E70" w:rsidP="007B2E70">
            <w:pPr>
              <w:spacing w:after="0" w:line="240" w:lineRule="auto"/>
              <w:rPr>
                <w:rFonts w:ascii="Times New Roman" w:hAnsi="Times New Roman" w:cs="Times New Roman"/>
                <w:sz w:val="24"/>
                <w:szCs w:val="24"/>
                <w:lang w:val="uk-UA"/>
              </w:rPr>
            </w:pPr>
            <w:hyperlink r:id="rId14" w:history="1">
              <w:r w:rsidR="0032449F" w:rsidRPr="007B2E70">
                <w:rPr>
                  <w:rStyle w:val="a3"/>
                  <w:rFonts w:ascii="Times New Roman" w:hAnsi="Times New Roman" w:cs="Times New Roman"/>
                  <w:sz w:val="24"/>
                  <w:szCs w:val="24"/>
                  <w:lang w:val="uk-UA"/>
                </w:rPr>
                <w:t>https://studfile.net/preview/4531283/</w:t>
              </w:r>
            </w:hyperlink>
          </w:p>
        </w:tc>
      </w:tr>
      <w:tr w:rsidR="009E33DD" w:rsidRPr="007B2E70" w:rsidTr="007B2E70">
        <w:tc>
          <w:tcPr>
            <w:tcW w:w="584" w:type="dxa"/>
          </w:tcPr>
          <w:p w:rsidR="009E33DD" w:rsidRPr="007B2E70" w:rsidRDefault="009E33DD"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2</w:t>
            </w:r>
          </w:p>
        </w:tc>
        <w:tc>
          <w:tcPr>
            <w:tcW w:w="2749" w:type="dxa"/>
          </w:tcPr>
          <w:p w:rsidR="009E33DD" w:rsidRPr="007B2E70" w:rsidRDefault="009E33DD" w:rsidP="007B2E70">
            <w:pPr>
              <w:spacing w:after="0" w:line="240" w:lineRule="auto"/>
              <w:rPr>
                <w:rFonts w:ascii="Times New Roman" w:hAnsi="Times New Roman" w:cs="Times New Roman"/>
                <w:sz w:val="28"/>
                <w:szCs w:val="28"/>
                <w:lang w:val="uk-UA"/>
              </w:rPr>
            </w:pPr>
            <w:r w:rsidRPr="007B2E70">
              <w:rPr>
                <w:rFonts w:asciiTheme="majorBidi" w:hAnsiTheme="majorBidi" w:cstheme="majorBidi"/>
                <w:sz w:val="28"/>
                <w:szCs w:val="28"/>
                <w:lang w:val="uk-UA"/>
              </w:rPr>
              <w:t>Свобода руху</w:t>
            </w:r>
            <w:r w:rsidR="007B2E70">
              <w:rPr>
                <w:rFonts w:asciiTheme="majorBidi" w:hAnsiTheme="majorBidi" w:cstheme="majorBidi"/>
                <w:sz w:val="28"/>
                <w:szCs w:val="28"/>
                <w:lang w:val="uk-UA"/>
              </w:rPr>
              <w:t xml:space="preserve"> капіталу в Європейському Союзі</w:t>
            </w:r>
          </w:p>
        </w:tc>
        <w:tc>
          <w:tcPr>
            <w:tcW w:w="8080" w:type="dxa"/>
          </w:tcPr>
          <w:p w:rsidR="009E33DD" w:rsidRPr="007B2E70" w:rsidRDefault="009E33DD" w:rsidP="007B2E70">
            <w:pPr>
              <w:spacing w:after="0" w:line="240" w:lineRule="auto"/>
              <w:jc w:val="both"/>
              <w:rPr>
                <w:rFonts w:asciiTheme="majorBidi" w:hAnsiTheme="majorBidi" w:cstheme="majorBidi"/>
                <w:sz w:val="28"/>
                <w:szCs w:val="28"/>
                <w:lang w:val="uk-UA"/>
              </w:rPr>
            </w:pPr>
            <w:r w:rsidRPr="007B2E70">
              <w:rPr>
                <w:rFonts w:asciiTheme="majorBidi" w:hAnsiTheme="majorBidi" w:cstheme="majorBidi"/>
                <w:sz w:val="28"/>
                <w:szCs w:val="28"/>
                <w:lang w:val="uk-UA"/>
              </w:rPr>
              <w:t>Особливості регулювання надання фінансових послуг і діяльності кредитних установ.</w:t>
            </w:r>
          </w:p>
        </w:tc>
        <w:tc>
          <w:tcPr>
            <w:tcW w:w="4252" w:type="dxa"/>
          </w:tcPr>
          <w:p w:rsidR="009E33DD" w:rsidRPr="007B2E70" w:rsidRDefault="007B2E70" w:rsidP="007B2E70">
            <w:pPr>
              <w:spacing w:after="0" w:line="240" w:lineRule="auto"/>
              <w:rPr>
                <w:rFonts w:ascii="Times New Roman" w:hAnsi="Times New Roman" w:cs="Times New Roman"/>
                <w:sz w:val="24"/>
                <w:szCs w:val="24"/>
                <w:lang w:val="uk-UA"/>
              </w:rPr>
            </w:pPr>
            <w:hyperlink r:id="rId15" w:history="1">
              <w:r w:rsidR="009E33DD" w:rsidRPr="007B2E70">
                <w:rPr>
                  <w:rStyle w:val="a3"/>
                  <w:rFonts w:ascii="Times New Roman" w:hAnsi="Times New Roman" w:cs="Times New Roman"/>
                  <w:sz w:val="24"/>
                  <w:szCs w:val="24"/>
                  <w:lang w:val="uk-UA"/>
                </w:rPr>
                <w:t>https://studfile.net/preview/4531283/</w:t>
              </w:r>
            </w:hyperlink>
          </w:p>
        </w:tc>
      </w:tr>
      <w:tr w:rsidR="009E33DD" w:rsidRPr="007B2E70" w:rsidTr="007B2E70">
        <w:tc>
          <w:tcPr>
            <w:tcW w:w="584" w:type="dxa"/>
          </w:tcPr>
          <w:p w:rsidR="009E33DD" w:rsidRPr="007B2E70" w:rsidRDefault="009E33DD"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3</w:t>
            </w:r>
          </w:p>
        </w:tc>
        <w:tc>
          <w:tcPr>
            <w:tcW w:w="2749" w:type="dxa"/>
          </w:tcPr>
          <w:p w:rsidR="009E33DD" w:rsidRPr="007B2E70" w:rsidRDefault="009E33DD" w:rsidP="007B2E70">
            <w:pPr>
              <w:spacing w:after="0" w:line="240" w:lineRule="auto"/>
              <w:rPr>
                <w:rFonts w:ascii="Times New Roman" w:hAnsi="Times New Roman" w:cs="Times New Roman"/>
                <w:sz w:val="28"/>
                <w:szCs w:val="28"/>
                <w:lang w:val="uk-UA"/>
              </w:rPr>
            </w:pPr>
            <w:r w:rsidRPr="007B2E70">
              <w:rPr>
                <w:rFonts w:asciiTheme="majorBidi" w:hAnsiTheme="majorBidi" w:cstheme="majorBidi"/>
                <w:sz w:val="28"/>
                <w:szCs w:val="28"/>
                <w:lang w:val="uk-UA"/>
              </w:rPr>
              <w:t>Вільний рух товарів у Європейському Союзі</w:t>
            </w:r>
          </w:p>
        </w:tc>
        <w:tc>
          <w:tcPr>
            <w:tcW w:w="8080" w:type="dxa"/>
          </w:tcPr>
          <w:p w:rsidR="009E33DD" w:rsidRPr="007B2E70" w:rsidRDefault="009E33DD" w:rsidP="007B2E70">
            <w:pPr>
              <w:spacing w:after="0" w:line="240" w:lineRule="auto"/>
              <w:jc w:val="both"/>
              <w:rPr>
                <w:rFonts w:asciiTheme="majorBidi" w:hAnsiTheme="majorBidi" w:cstheme="majorBidi"/>
                <w:sz w:val="28"/>
                <w:szCs w:val="28"/>
                <w:lang w:val="uk-UA"/>
              </w:rPr>
            </w:pPr>
            <w:r w:rsidRPr="007B2E70">
              <w:rPr>
                <w:rFonts w:asciiTheme="majorBidi" w:hAnsiTheme="majorBidi" w:cstheme="majorBidi"/>
                <w:sz w:val="28"/>
                <w:szCs w:val="28"/>
                <w:lang w:val="uk-UA"/>
              </w:rPr>
              <w:t>Обмеження імпорту. Обмеження експорту. Винятки із застосування статей 34, 35 Договору про діяльність ЄС.</w:t>
            </w:r>
          </w:p>
        </w:tc>
        <w:tc>
          <w:tcPr>
            <w:tcW w:w="4252" w:type="dxa"/>
          </w:tcPr>
          <w:p w:rsidR="009E33DD" w:rsidRPr="007B2E70" w:rsidRDefault="007B2E70" w:rsidP="007B2E70">
            <w:pPr>
              <w:spacing w:after="0" w:line="240" w:lineRule="auto"/>
              <w:rPr>
                <w:rFonts w:ascii="Times New Roman" w:hAnsi="Times New Roman" w:cs="Times New Roman"/>
                <w:sz w:val="24"/>
                <w:szCs w:val="24"/>
                <w:lang w:val="uk-UA"/>
              </w:rPr>
            </w:pPr>
            <w:hyperlink r:id="rId16" w:history="1">
              <w:r w:rsidR="009E33DD" w:rsidRPr="007B2E70">
                <w:rPr>
                  <w:rStyle w:val="a3"/>
                  <w:rFonts w:ascii="Times New Roman" w:hAnsi="Times New Roman" w:cs="Times New Roman"/>
                  <w:sz w:val="24"/>
                  <w:szCs w:val="24"/>
                  <w:lang w:val="uk-UA"/>
                </w:rPr>
                <w:t>https://studfile.net/preview/4531276/</w:t>
              </w:r>
            </w:hyperlink>
          </w:p>
        </w:tc>
      </w:tr>
      <w:tr w:rsidR="009E33DD" w:rsidRPr="007B2E70" w:rsidTr="007B2E70">
        <w:tc>
          <w:tcPr>
            <w:tcW w:w="584" w:type="dxa"/>
          </w:tcPr>
          <w:p w:rsidR="009E33DD" w:rsidRPr="007B2E70" w:rsidRDefault="009E33DD"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4</w:t>
            </w:r>
          </w:p>
        </w:tc>
        <w:tc>
          <w:tcPr>
            <w:tcW w:w="2749" w:type="dxa"/>
          </w:tcPr>
          <w:p w:rsidR="009E33DD" w:rsidRPr="007B2E70" w:rsidRDefault="009E33DD" w:rsidP="007B2E70">
            <w:pPr>
              <w:spacing w:after="0" w:line="240" w:lineRule="auto"/>
              <w:rPr>
                <w:rFonts w:ascii="Times New Roman" w:hAnsi="Times New Roman" w:cs="Times New Roman"/>
                <w:sz w:val="28"/>
                <w:szCs w:val="28"/>
                <w:lang w:val="uk-UA"/>
              </w:rPr>
            </w:pPr>
            <w:r w:rsidRPr="007B2E70">
              <w:rPr>
                <w:rFonts w:ascii="Times New Roman" w:hAnsi="Times New Roman" w:cs="Times New Roman"/>
                <w:sz w:val="28"/>
                <w:szCs w:val="28"/>
                <w:lang w:val="uk-UA"/>
              </w:rPr>
              <w:t>Спільна торговель</w:t>
            </w:r>
            <w:r w:rsidR="007B2E70">
              <w:rPr>
                <w:rFonts w:ascii="Times New Roman" w:hAnsi="Times New Roman" w:cs="Times New Roman"/>
                <w:sz w:val="28"/>
                <w:szCs w:val="28"/>
                <w:lang w:val="uk-UA"/>
              </w:rPr>
              <w:t>на політика Європейського Союзу</w:t>
            </w:r>
          </w:p>
        </w:tc>
        <w:tc>
          <w:tcPr>
            <w:tcW w:w="8080" w:type="dxa"/>
          </w:tcPr>
          <w:p w:rsidR="009E33DD" w:rsidRPr="007B2E70" w:rsidRDefault="009E33DD" w:rsidP="007B2E70">
            <w:pPr>
              <w:spacing w:after="0" w:line="240" w:lineRule="auto"/>
              <w:jc w:val="both"/>
              <w:rPr>
                <w:rFonts w:ascii="Times New Roman" w:hAnsi="Times New Roman" w:cs="Times New Roman"/>
                <w:sz w:val="28"/>
                <w:szCs w:val="28"/>
                <w:lang w:val="uk-UA"/>
              </w:rPr>
            </w:pPr>
            <w:r w:rsidRPr="007B2E70">
              <w:rPr>
                <w:rFonts w:ascii="Times New Roman" w:hAnsi="Times New Roman" w:cs="Times New Roman"/>
                <w:sz w:val="28"/>
                <w:szCs w:val="28"/>
                <w:lang w:val="uk-UA"/>
              </w:rPr>
              <w:t>Основні принципи ЄС щодо тарифного регулювання торгівлі товарами. Заходи ЄС щодо нетарифного регулювання торгівлі товарами.</w:t>
            </w:r>
          </w:p>
        </w:tc>
        <w:tc>
          <w:tcPr>
            <w:tcW w:w="4252" w:type="dxa"/>
          </w:tcPr>
          <w:p w:rsidR="009E33DD" w:rsidRPr="007B2E70" w:rsidRDefault="007B2E70" w:rsidP="007B2E70">
            <w:pPr>
              <w:spacing w:after="0" w:line="240" w:lineRule="auto"/>
              <w:rPr>
                <w:rFonts w:ascii="Times New Roman" w:hAnsi="Times New Roman" w:cs="Times New Roman"/>
                <w:sz w:val="24"/>
                <w:szCs w:val="24"/>
                <w:lang w:val="uk-UA"/>
              </w:rPr>
            </w:pPr>
            <w:hyperlink r:id="rId17" w:history="1">
              <w:r w:rsidR="009E33DD" w:rsidRPr="007B2E70">
                <w:rPr>
                  <w:rStyle w:val="a3"/>
                  <w:rFonts w:ascii="Times New Roman" w:hAnsi="Times New Roman" w:cs="Times New Roman"/>
                  <w:sz w:val="24"/>
                  <w:szCs w:val="24"/>
                  <w:lang w:val="uk-UA"/>
                </w:rPr>
                <w:t>https://pidruchniki.com/1436010648577/pravo/spilna_torgovelna_politika_yevropeyskogo_soyuzu</w:t>
              </w:r>
            </w:hyperlink>
          </w:p>
        </w:tc>
      </w:tr>
      <w:tr w:rsidR="009E33DD" w:rsidRPr="007B2E70" w:rsidTr="007B2E70">
        <w:tc>
          <w:tcPr>
            <w:tcW w:w="584" w:type="dxa"/>
          </w:tcPr>
          <w:p w:rsidR="009E33DD" w:rsidRPr="007B2E70" w:rsidRDefault="009E33DD"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lastRenderedPageBreak/>
              <w:t>5</w:t>
            </w:r>
          </w:p>
        </w:tc>
        <w:tc>
          <w:tcPr>
            <w:tcW w:w="2749" w:type="dxa"/>
          </w:tcPr>
          <w:p w:rsidR="009E33DD" w:rsidRPr="007B2E70" w:rsidRDefault="009E33DD" w:rsidP="007B2E70">
            <w:pPr>
              <w:spacing w:after="0" w:line="240" w:lineRule="auto"/>
              <w:rPr>
                <w:rFonts w:ascii="Times New Roman" w:hAnsi="Times New Roman" w:cs="Times New Roman"/>
                <w:sz w:val="28"/>
                <w:szCs w:val="28"/>
                <w:lang w:val="uk-UA"/>
              </w:rPr>
            </w:pPr>
            <w:r w:rsidRPr="007B2E70">
              <w:rPr>
                <w:rFonts w:ascii="Times New Roman" w:hAnsi="Times New Roman" w:cs="Times New Roman"/>
                <w:sz w:val="28"/>
                <w:szCs w:val="28"/>
                <w:lang w:val="uk-UA"/>
              </w:rPr>
              <w:t>Конкурент</w:t>
            </w:r>
            <w:r w:rsidR="007B2E70">
              <w:rPr>
                <w:rFonts w:ascii="Times New Roman" w:hAnsi="Times New Roman" w:cs="Times New Roman"/>
                <w:sz w:val="28"/>
                <w:szCs w:val="28"/>
                <w:lang w:val="uk-UA"/>
              </w:rPr>
              <w:t>на політика Європейського Союзу</w:t>
            </w:r>
          </w:p>
        </w:tc>
        <w:tc>
          <w:tcPr>
            <w:tcW w:w="8080" w:type="dxa"/>
          </w:tcPr>
          <w:p w:rsidR="009E33DD" w:rsidRPr="007B2E70" w:rsidRDefault="00B20455" w:rsidP="007B2E70">
            <w:pPr>
              <w:spacing w:after="0" w:line="240" w:lineRule="auto"/>
              <w:jc w:val="both"/>
              <w:rPr>
                <w:rFonts w:ascii="Times New Roman" w:hAnsi="Times New Roman" w:cs="Times New Roman"/>
                <w:sz w:val="28"/>
                <w:szCs w:val="28"/>
                <w:lang w:val="uk-UA"/>
              </w:rPr>
            </w:pPr>
            <w:proofErr w:type="spellStart"/>
            <w:r w:rsidRPr="007B2E70">
              <w:rPr>
                <w:rFonts w:ascii="Times New Roman" w:hAnsi="Times New Roman" w:cs="Times New Roman"/>
                <w:sz w:val="28"/>
                <w:szCs w:val="28"/>
                <w:lang w:val="uk-UA"/>
              </w:rPr>
              <w:t>Антиконкурентні</w:t>
            </w:r>
            <w:proofErr w:type="spellEnd"/>
            <w:r w:rsidRPr="007B2E70">
              <w:rPr>
                <w:rFonts w:ascii="Times New Roman" w:hAnsi="Times New Roman" w:cs="Times New Roman"/>
                <w:sz w:val="28"/>
                <w:szCs w:val="28"/>
                <w:lang w:val="uk-UA"/>
              </w:rPr>
              <w:t xml:space="preserve"> угоди та картельна практика в праві ЄС. Визначення зловживання домінуючим становищем в праві ЄС. Контроль за концентраціями в праві ЄС. Правове регулювання надання державної допомоги в ЄС.</w:t>
            </w:r>
          </w:p>
        </w:tc>
        <w:tc>
          <w:tcPr>
            <w:tcW w:w="4252" w:type="dxa"/>
          </w:tcPr>
          <w:p w:rsidR="009E33DD" w:rsidRPr="007B2E70" w:rsidRDefault="007B2E70" w:rsidP="007B2E70">
            <w:pPr>
              <w:spacing w:after="0" w:line="240" w:lineRule="auto"/>
              <w:rPr>
                <w:rFonts w:ascii="Times New Roman" w:hAnsi="Times New Roman" w:cs="Times New Roman"/>
                <w:sz w:val="24"/>
                <w:szCs w:val="24"/>
                <w:lang w:val="uk-UA"/>
              </w:rPr>
            </w:pPr>
            <w:hyperlink r:id="rId18" w:history="1">
              <w:r w:rsidR="00B20455" w:rsidRPr="007B2E70">
                <w:rPr>
                  <w:rStyle w:val="a3"/>
                  <w:rFonts w:ascii="Times New Roman" w:hAnsi="Times New Roman" w:cs="Times New Roman"/>
                  <w:sz w:val="24"/>
                  <w:szCs w:val="24"/>
                  <w:lang w:val="uk-UA"/>
                </w:rPr>
                <w:t>https://pidruchniki.com/92260/pravo/antikonkurentni_ugodi_kartelna_praktika</w:t>
              </w:r>
            </w:hyperlink>
          </w:p>
          <w:p w:rsidR="00B20455" w:rsidRPr="007B2E70" w:rsidRDefault="007B2E70" w:rsidP="007B2E70">
            <w:pPr>
              <w:spacing w:after="0" w:line="240" w:lineRule="auto"/>
              <w:rPr>
                <w:rFonts w:ascii="Times New Roman" w:hAnsi="Times New Roman" w:cs="Times New Roman"/>
                <w:sz w:val="24"/>
                <w:szCs w:val="24"/>
                <w:lang w:val="uk-UA"/>
              </w:rPr>
            </w:pPr>
            <w:hyperlink r:id="rId19" w:history="1">
              <w:r w:rsidR="00B20455" w:rsidRPr="007B2E70">
                <w:rPr>
                  <w:rStyle w:val="a3"/>
                  <w:rFonts w:ascii="Times New Roman" w:hAnsi="Times New Roman" w:cs="Times New Roman"/>
                  <w:sz w:val="24"/>
                  <w:szCs w:val="24"/>
                  <w:lang w:val="uk-UA"/>
                </w:rPr>
                <w:t>https://just.odessa.gov.ua/files/upload/files/15.pdf</w:t>
              </w:r>
            </w:hyperlink>
          </w:p>
          <w:p w:rsidR="00B20455" w:rsidRPr="007B2E70" w:rsidRDefault="007B2E70" w:rsidP="007B2E70">
            <w:pPr>
              <w:spacing w:after="0" w:line="240" w:lineRule="auto"/>
              <w:rPr>
                <w:rFonts w:ascii="Times New Roman" w:hAnsi="Times New Roman" w:cs="Times New Roman"/>
                <w:sz w:val="24"/>
                <w:szCs w:val="24"/>
                <w:lang w:val="uk-UA"/>
              </w:rPr>
            </w:pPr>
            <w:hyperlink r:id="rId20" w:history="1">
              <w:r w:rsidR="00B20455" w:rsidRPr="007B2E70">
                <w:rPr>
                  <w:rStyle w:val="a3"/>
                  <w:rFonts w:ascii="Times New Roman" w:hAnsi="Times New Roman" w:cs="Times New Roman"/>
                  <w:sz w:val="24"/>
                  <w:szCs w:val="24"/>
                  <w:lang w:val="uk-UA"/>
                </w:rPr>
                <w:t>https://pidruchniki.com/1333122248543/pravo/pravove_regulyuvannya_nadannya_derzhavnoyi_dopomogi</w:t>
              </w:r>
            </w:hyperlink>
          </w:p>
        </w:tc>
      </w:tr>
      <w:tr w:rsidR="00B20455" w:rsidRPr="007B2E70" w:rsidTr="007B2E70">
        <w:tc>
          <w:tcPr>
            <w:tcW w:w="584" w:type="dxa"/>
          </w:tcPr>
          <w:p w:rsidR="00B20455" w:rsidRPr="007B2E70" w:rsidRDefault="00B20455"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6</w:t>
            </w:r>
          </w:p>
        </w:tc>
        <w:tc>
          <w:tcPr>
            <w:tcW w:w="2749" w:type="dxa"/>
          </w:tcPr>
          <w:p w:rsidR="00B20455" w:rsidRPr="007B2E70" w:rsidRDefault="00B20455" w:rsidP="007B2E70">
            <w:pPr>
              <w:spacing w:after="0" w:line="240" w:lineRule="auto"/>
              <w:rPr>
                <w:rFonts w:ascii="Times New Roman" w:hAnsi="Times New Roman" w:cs="Times New Roman"/>
                <w:sz w:val="28"/>
                <w:szCs w:val="28"/>
                <w:lang w:val="uk-UA"/>
              </w:rPr>
            </w:pPr>
            <w:r w:rsidRPr="007B2E70">
              <w:rPr>
                <w:rFonts w:ascii="Times New Roman" w:hAnsi="Times New Roman" w:cs="Times New Roman"/>
                <w:sz w:val="28"/>
                <w:szCs w:val="28"/>
                <w:lang w:val="uk-UA"/>
              </w:rPr>
              <w:t>Захист прав с</w:t>
            </w:r>
            <w:r w:rsidR="007B2E70">
              <w:rPr>
                <w:rFonts w:ascii="Times New Roman" w:hAnsi="Times New Roman" w:cs="Times New Roman"/>
                <w:sz w:val="28"/>
                <w:szCs w:val="28"/>
                <w:lang w:val="uk-UA"/>
              </w:rPr>
              <w:t>поживачів у Європейському Союзі</w:t>
            </w:r>
          </w:p>
        </w:tc>
        <w:tc>
          <w:tcPr>
            <w:tcW w:w="8080" w:type="dxa"/>
          </w:tcPr>
          <w:p w:rsidR="00B20455" w:rsidRPr="007B2E70" w:rsidRDefault="00B20455" w:rsidP="007B2E70">
            <w:pPr>
              <w:spacing w:after="0" w:line="240" w:lineRule="auto"/>
              <w:jc w:val="both"/>
              <w:rPr>
                <w:rFonts w:ascii="Times New Roman" w:hAnsi="Times New Roman" w:cs="Times New Roman"/>
                <w:sz w:val="28"/>
                <w:szCs w:val="28"/>
                <w:lang w:val="uk-UA"/>
              </w:rPr>
            </w:pPr>
            <w:r w:rsidRPr="007B2E70">
              <w:rPr>
                <w:rFonts w:ascii="Times New Roman" w:hAnsi="Times New Roman" w:cs="Times New Roman"/>
                <w:sz w:val="28"/>
                <w:szCs w:val="28"/>
                <w:lang w:val="uk-UA"/>
              </w:rPr>
              <w:t xml:space="preserve">Регулювання якості послуг у Європейському Союзі. Регулювання контрактних зобов’язань у праві Європейського Союзу. </w:t>
            </w:r>
            <w:r w:rsidR="00395F52" w:rsidRPr="007B2E70">
              <w:rPr>
                <w:rFonts w:ascii="Times New Roman" w:hAnsi="Times New Roman" w:cs="Times New Roman"/>
                <w:sz w:val="28"/>
                <w:szCs w:val="28"/>
                <w:lang w:val="uk-UA"/>
              </w:rPr>
              <w:t>Заборона нечесної комерційної практики у сфері захисту прав споживачів у ЄС.</w:t>
            </w:r>
          </w:p>
        </w:tc>
        <w:tc>
          <w:tcPr>
            <w:tcW w:w="4252" w:type="dxa"/>
          </w:tcPr>
          <w:p w:rsidR="00B20455" w:rsidRPr="007B2E70" w:rsidRDefault="007B2E70" w:rsidP="007B2E70">
            <w:pPr>
              <w:spacing w:after="0" w:line="240" w:lineRule="auto"/>
              <w:rPr>
                <w:rFonts w:ascii="Times New Roman" w:hAnsi="Times New Roman" w:cs="Times New Roman"/>
                <w:sz w:val="24"/>
                <w:szCs w:val="24"/>
                <w:lang w:val="uk-UA"/>
              </w:rPr>
            </w:pPr>
            <w:hyperlink r:id="rId21" w:history="1">
              <w:r w:rsidR="00395F52" w:rsidRPr="007B2E70">
                <w:rPr>
                  <w:rStyle w:val="a3"/>
                  <w:rFonts w:ascii="Times New Roman" w:hAnsi="Times New Roman" w:cs="Times New Roman"/>
                  <w:sz w:val="24"/>
                  <w:szCs w:val="24"/>
                  <w:lang w:val="uk-UA"/>
                </w:rPr>
                <w:t>https://feao.org.ua/wp-content/uploads/2016/04/FEAO_Zahyst_prav_A5_web.pdf</w:t>
              </w:r>
            </w:hyperlink>
          </w:p>
        </w:tc>
      </w:tr>
      <w:tr w:rsidR="00395F52" w:rsidRPr="007B2E70" w:rsidTr="007B2E70">
        <w:tc>
          <w:tcPr>
            <w:tcW w:w="584" w:type="dxa"/>
          </w:tcPr>
          <w:p w:rsidR="00395F52" w:rsidRPr="007B2E70" w:rsidRDefault="00395F52" w:rsidP="007B2E70">
            <w:pPr>
              <w:spacing w:after="0" w:line="240" w:lineRule="auto"/>
              <w:jc w:val="center"/>
              <w:rPr>
                <w:rFonts w:ascii="Times New Roman" w:hAnsi="Times New Roman" w:cs="Times New Roman"/>
                <w:b/>
                <w:bCs/>
                <w:sz w:val="28"/>
                <w:szCs w:val="28"/>
                <w:lang w:val="uk-UA"/>
              </w:rPr>
            </w:pPr>
            <w:r w:rsidRPr="007B2E70">
              <w:rPr>
                <w:rFonts w:ascii="Times New Roman" w:hAnsi="Times New Roman" w:cs="Times New Roman"/>
                <w:b/>
                <w:bCs/>
                <w:sz w:val="28"/>
                <w:szCs w:val="28"/>
                <w:lang w:val="uk-UA"/>
              </w:rPr>
              <w:t>7</w:t>
            </w:r>
          </w:p>
        </w:tc>
        <w:tc>
          <w:tcPr>
            <w:tcW w:w="2749" w:type="dxa"/>
          </w:tcPr>
          <w:p w:rsidR="00395F52" w:rsidRPr="007B2E70" w:rsidRDefault="00395F52" w:rsidP="007B2E70">
            <w:pPr>
              <w:spacing w:after="0" w:line="240" w:lineRule="auto"/>
              <w:rPr>
                <w:rFonts w:ascii="Times New Roman" w:hAnsi="Times New Roman" w:cs="Times New Roman"/>
                <w:sz w:val="28"/>
                <w:szCs w:val="28"/>
                <w:lang w:val="uk-UA"/>
              </w:rPr>
            </w:pPr>
            <w:r w:rsidRPr="007B2E70">
              <w:rPr>
                <w:rFonts w:ascii="Times New Roman" w:hAnsi="Times New Roman" w:cs="Times New Roman"/>
                <w:sz w:val="28"/>
                <w:szCs w:val="28"/>
                <w:lang w:val="uk-UA"/>
              </w:rPr>
              <w:t>Громадянство Європейського Союзу</w:t>
            </w:r>
          </w:p>
        </w:tc>
        <w:tc>
          <w:tcPr>
            <w:tcW w:w="8080" w:type="dxa"/>
          </w:tcPr>
          <w:p w:rsidR="00395F52" w:rsidRPr="007B2E70" w:rsidRDefault="00395F52" w:rsidP="007B2E70">
            <w:pPr>
              <w:spacing w:after="0" w:line="240" w:lineRule="auto"/>
              <w:jc w:val="both"/>
              <w:rPr>
                <w:rFonts w:ascii="Times New Roman" w:hAnsi="Times New Roman" w:cs="Times New Roman"/>
                <w:sz w:val="28"/>
                <w:szCs w:val="28"/>
                <w:lang w:val="uk-UA"/>
              </w:rPr>
            </w:pPr>
            <w:r w:rsidRPr="007B2E70">
              <w:rPr>
                <w:rFonts w:ascii="Times New Roman" w:hAnsi="Times New Roman" w:cs="Times New Roman"/>
                <w:sz w:val="28"/>
                <w:szCs w:val="28"/>
                <w:lang w:val="uk-UA"/>
              </w:rPr>
              <w:t>Права громадян третіх країн на Внутрішньому ринку ЄС. Правове становище фізичних та юридичних осіб інших країн в ЄС згідно з положеннями двосторонніх угод між іншими державами та ЄС. Правове становище громадян інших країн, що є членами сім’ї громадянина ЄС. Правове становище громадян інших країн, що є працівниками компаній, зареєстрованих в ЄС.</w:t>
            </w:r>
          </w:p>
        </w:tc>
        <w:tc>
          <w:tcPr>
            <w:tcW w:w="4252" w:type="dxa"/>
          </w:tcPr>
          <w:p w:rsidR="00395F52" w:rsidRPr="007B2E70" w:rsidRDefault="007B2E70" w:rsidP="007B2E70">
            <w:pPr>
              <w:spacing w:after="0" w:line="240" w:lineRule="auto"/>
              <w:rPr>
                <w:rFonts w:ascii="Times New Roman" w:hAnsi="Times New Roman" w:cs="Times New Roman"/>
                <w:sz w:val="24"/>
                <w:szCs w:val="24"/>
                <w:lang w:val="uk-UA"/>
              </w:rPr>
            </w:pPr>
            <w:hyperlink r:id="rId22" w:history="1">
              <w:r w:rsidR="00395F52" w:rsidRPr="007B2E70">
                <w:rPr>
                  <w:rStyle w:val="a3"/>
                  <w:rFonts w:ascii="Times New Roman" w:hAnsi="Times New Roman" w:cs="Times New Roman"/>
                  <w:sz w:val="24"/>
                  <w:szCs w:val="24"/>
                  <w:lang w:val="uk-UA"/>
                </w:rPr>
                <w:t>https://studfile.net/preview/5129580/page:28/</w:t>
              </w:r>
            </w:hyperlink>
          </w:p>
        </w:tc>
      </w:tr>
    </w:tbl>
    <w:p w:rsidR="004438C1" w:rsidRPr="007B2E70" w:rsidRDefault="004438C1" w:rsidP="007B2E70">
      <w:pPr>
        <w:spacing w:after="0" w:line="240" w:lineRule="auto"/>
        <w:rPr>
          <w:rFonts w:ascii="Times New Roman" w:hAnsi="Times New Roman" w:cs="Times New Roman"/>
          <w:sz w:val="28"/>
          <w:szCs w:val="28"/>
          <w:lang w:val="uk-UA"/>
        </w:rPr>
      </w:pPr>
    </w:p>
    <w:p w:rsidR="00FE4A5E" w:rsidRPr="007B2E70" w:rsidRDefault="00FE4A5E" w:rsidP="007B2E70">
      <w:pPr>
        <w:spacing w:after="0" w:line="240" w:lineRule="auto"/>
        <w:rPr>
          <w:lang w:val="uk-UA"/>
        </w:rPr>
      </w:pPr>
    </w:p>
    <w:sectPr w:rsidR="00FE4A5E" w:rsidRPr="007B2E70" w:rsidSect="004438C1">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C1"/>
    <w:rsid w:val="00070486"/>
    <w:rsid w:val="0032449F"/>
    <w:rsid w:val="00334D27"/>
    <w:rsid w:val="00395F52"/>
    <w:rsid w:val="004438C1"/>
    <w:rsid w:val="005678CE"/>
    <w:rsid w:val="005D10F8"/>
    <w:rsid w:val="007B2E70"/>
    <w:rsid w:val="00825DE2"/>
    <w:rsid w:val="008A5084"/>
    <w:rsid w:val="00902F81"/>
    <w:rsid w:val="009A14CF"/>
    <w:rsid w:val="009E33DD"/>
    <w:rsid w:val="00B20455"/>
    <w:rsid w:val="00BF71AE"/>
    <w:rsid w:val="00C960C6"/>
    <w:rsid w:val="00DD10E1"/>
    <w:rsid w:val="00FE4A5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C1"/>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04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C1"/>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0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ruchniki.com/1436010648577/pravo/spilna_torgovelna_politika_yevropeyskogo_soyuzu" TargetMode="External"/><Relationship Id="rId13" Type="http://schemas.openxmlformats.org/officeDocument/2006/relationships/hyperlink" Target="https://studfile.net/preview/5129580/page:28/" TargetMode="External"/><Relationship Id="rId18" Type="http://schemas.openxmlformats.org/officeDocument/2006/relationships/hyperlink" Target="https://pidruchniki.com/92260/pravo/antikonkurentni_ugodi_kartelna_praktika" TargetMode="External"/><Relationship Id="rId3" Type="http://schemas.openxmlformats.org/officeDocument/2006/relationships/settings" Target="settings.xml"/><Relationship Id="rId21" Type="http://schemas.openxmlformats.org/officeDocument/2006/relationships/hyperlink" Target="https://feao.org.ua/wp-content/uploads/2016/04/FEAO_Zahyst_prav_A5_web.pdf" TargetMode="External"/><Relationship Id="rId7" Type="http://schemas.openxmlformats.org/officeDocument/2006/relationships/hyperlink" Target="https://studfile.net/preview/4531276/" TargetMode="External"/><Relationship Id="rId12" Type="http://schemas.openxmlformats.org/officeDocument/2006/relationships/hyperlink" Target="https://feao.org.ua/wp-content/uploads/2016/04/FEAO_Zahyst_prav_A5_web.pdf" TargetMode="External"/><Relationship Id="rId17" Type="http://schemas.openxmlformats.org/officeDocument/2006/relationships/hyperlink" Target="https://pidruchniki.com/1436010648577/pravo/spilna_torgovelna_politika_yevropeyskogo_soyuzu" TargetMode="External"/><Relationship Id="rId2" Type="http://schemas.microsoft.com/office/2007/relationships/stylesWithEffects" Target="stylesWithEffects.xml"/><Relationship Id="rId16" Type="http://schemas.openxmlformats.org/officeDocument/2006/relationships/hyperlink" Target="https://studfile.net/preview/4531276/" TargetMode="External"/><Relationship Id="rId20" Type="http://schemas.openxmlformats.org/officeDocument/2006/relationships/hyperlink" Target="https://pidruchniki.com/1333122248543/pravo/pravove_regulyuvannya_nadannya_derzhavnoyi_dopomogi" TargetMode="External"/><Relationship Id="rId1" Type="http://schemas.openxmlformats.org/officeDocument/2006/relationships/styles" Target="styles.xml"/><Relationship Id="rId6" Type="http://schemas.openxmlformats.org/officeDocument/2006/relationships/hyperlink" Target="https://studfile.net/preview/4531284/" TargetMode="External"/><Relationship Id="rId11" Type="http://schemas.openxmlformats.org/officeDocument/2006/relationships/hyperlink" Target="http://posibniki.com.ua/post-konkurentna-politika" TargetMode="External"/><Relationship Id="rId24" Type="http://schemas.openxmlformats.org/officeDocument/2006/relationships/theme" Target="theme/theme1.xml"/><Relationship Id="rId5" Type="http://schemas.openxmlformats.org/officeDocument/2006/relationships/hyperlink" Target="https://studfile.net/preview/4531283/" TargetMode="External"/><Relationship Id="rId15" Type="http://schemas.openxmlformats.org/officeDocument/2006/relationships/hyperlink" Target="https://studfile.net/preview/4531283/" TargetMode="External"/><Relationship Id="rId23" Type="http://schemas.openxmlformats.org/officeDocument/2006/relationships/fontTable" Target="fontTable.xml"/><Relationship Id="rId10" Type="http://schemas.openxmlformats.org/officeDocument/2006/relationships/hyperlink" Target="https://studfile.net/preview/5080133/" TargetMode="External"/><Relationship Id="rId19" Type="http://schemas.openxmlformats.org/officeDocument/2006/relationships/hyperlink" Target="https://just.odessa.gov.ua/files/upload/files/15.pdf" TargetMode="External"/><Relationship Id="rId4" Type="http://schemas.openxmlformats.org/officeDocument/2006/relationships/webSettings" Target="webSettings.xml"/><Relationship Id="rId9" Type="http://schemas.openxmlformats.org/officeDocument/2006/relationships/hyperlink" Target="https://studfile.net/preview/5694425/" TargetMode="External"/><Relationship Id="rId14" Type="http://schemas.openxmlformats.org/officeDocument/2006/relationships/hyperlink" Target="https://studfile.net/preview/4531283/" TargetMode="External"/><Relationship Id="rId22" Type="http://schemas.openxmlformats.org/officeDocument/2006/relationships/hyperlink" Target="https://studfile.net/preview/5129580/page: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Admin</cp:lastModifiedBy>
  <cp:revision>7</cp:revision>
  <dcterms:created xsi:type="dcterms:W3CDTF">2020-03-30T16:18:00Z</dcterms:created>
  <dcterms:modified xsi:type="dcterms:W3CDTF">2020-03-31T13:07:00Z</dcterms:modified>
</cp:coreProperties>
</file>