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5B" w:rsidRPr="0011425B" w:rsidRDefault="0011425B" w:rsidP="001142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>ЗАТВЕРДЖЕНО</w:t>
      </w:r>
      <w:r w:rsidRPr="001142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2015 р. № 579</w:t>
      </w:r>
    </w:p>
    <w:p w:rsidR="0011425B" w:rsidRPr="0011425B" w:rsidRDefault="0011425B" w:rsidP="001142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  <w:r w:rsidRPr="0011425B">
        <w:rPr>
          <w:rFonts w:ascii="Times New Roman" w:hAnsi="Times New Roman" w:cs="Times New Roman"/>
          <w:sz w:val="28"/>
          <w:szCs w:val="28"/>
        </w:rPr>
        <w:br/>
      </w:r>
      <w:r w:rsidRPr="0011425B">
        <w:rPr>
          <w:rFonts w:ascii="Times New Roman" w:hAnsi="Times New Roman" w:cs="Times New Roman"/>
          <w:b/>
          <w:bCs/>
          <w:sz w:val="28"/>
          <w:szCs w:val="28"/>
        </w:rPr>
        <w:t xml:space="preserve">про порядок </w:t>
      </w:r>
      <w:proofErr w:type="spellStart"/>
      <w:r w:rsidRPr="0011425B">
        <w:rPr>
          <w:rFonts w:ascii="Times New Roman" w:hAnsi="Times New Roman" w:cs="Times New Roman"/>
          <w:b/>
          <w:bCs/>
          <w:sz w:val="28"/>
          <w:szCs w:val="28"/>
        </w:rPr>
        <w:t>реалізації</w:t>
      </w:r>
      <w:proofErr w:type="spellEnd"/>
      <w:r w:rsidRPr="0011425B">
        <w:rPr>
          <w:rFonts w:ascii="Times New Roman" w:hAnsi="Times New Roman" w:cs="Times New Roman"/>
          <w:b/>
          <w:bCs/>
          <w:sz w:val="28"/>
          <w:szCs w:val="28"/>
        </w:rPr>
        <w:t xml:space="preserve"> права на </w:t>
      </w:r>
      <w:proofErr w:type="spellStart"/>
      <w:r w:rsidRPr="0011425B">
        <w:rPr>
          <w:rFonts w:ascii="Times New Roman" w:hAnsi="Times New Roman" w:cs="Times New Roman"/>
          <w:b/>
          <w:bCs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b/>
          <w:bCs/>
          <w:sz w:val="28"/>
          <w:szCs w:val="28"/>
        </w:rPr>
        <w:t>мобільність</w:t>
      </w:r>
      <w:proofErr w:type="spellEnd"/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встановлює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межами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Цілі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принципам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вчиненої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м.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Болоньї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червня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1999 р.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Болонська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декларація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).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беруть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4. Право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реалізоване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науки,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закладами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закладами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підрозділами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), 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реалізоване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ініціативи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підтриманої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адміністрацією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установи),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запрошень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механізмів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5.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поділяється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внутрішню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право </w:t>
      </w:r>
      <w:proofErr w:type="gramStart"/>
      <w:r w:rsidRPr="0011425B">
        <w:rPr>
          <w:rFonts w:ascii="Times New Roman" w:hAnsi="Times New Roman" w:cs="Times New Roman"/>
          <w:sz w:val="28"/>
          <w:szCs w:val="28"/>
        </w:rPr>
        <w:t>на яку</w:t>
      </w:r>
      <w:proofErr w:type="gram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закладах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партнерах в межах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право </w:t>
      </w:r>
      <w:proofErr w:type="gramStart"/>
      <w:r w:rsidRPr="0011425B">
        <w:rPr>
          <w:rFonts w:ascii="Times New Roman" w:hAnsi="Times New Roman" w:cs="Times New Roman"/>
          <w:sz w:val="28"/>
          <w:szCs w:val="28"/>
        </w:rPr>
        <w:t>на яку</w:t>
      </w:r>
      <w:proofErr w:type="gram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закладах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партнерах поза межами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закладах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).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видами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є: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lastRenderedPageBreak/>
        <w:t>ступенева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відмінному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підтверджується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документом (документами)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кредитна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відмінному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з метою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трансферно-накопичувальної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компетентностей,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(без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трансферно-накопичувальної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визнані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таких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залишається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незмінним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узгодженими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закладами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партнерами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включають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передбачати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випускниками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документа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 — партнера, 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подвійних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7. Формами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молодшого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бакалавра, бакалавра,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магістра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доктора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філософії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закладах, є: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мовне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8. Формами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ступінь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доктора наук,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, є: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участь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проектах;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внутрішньої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зараховуються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10.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домовленістю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: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lastRenderedPageBreak/>
        <w:t>здійснюється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відбір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регламентуються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процедура і строк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закладах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) — партнерах;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визначаються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звітування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11.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межами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виплата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стипендії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стажування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поза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межами,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стипендія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12. Особи,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уклали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договори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відраховуються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складу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права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обліковуються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Єдиній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державній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обов’язкових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погодженням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закладом,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направив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реалізують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співробітництво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закладами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партнерами,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зараховані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: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;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взаємного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передбачають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подвійного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документа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безоплатного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міжнародного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навчаються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lastRenderedPageBreak/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укладених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закладами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міжнародну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Науково-педагогічні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реалізувати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укладеного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договору про участь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зазначеними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основне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до одного року. Оплата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зберігається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25B">
        <w:rPr>
          <w:rFonts w:ascii="Times New Roman" w:hAnsi="Times New Roman" w:cs="Times New Roman"/>
          <w:sz w:val="28"/>
          <w:szCs w:val="28"/>
        </w:rPr>
        <w:t>на строк</w:t>
      </w:r>
      <w:proofErr w:type="gramEnd"/>
      <w:r w:rsidRPr="0011425B">
        <w:rPr>
          <w:rFonts w:ascii="Times New Roman" w:hAnsi="Times New Roman" w:cs="Times New Roman"/>
          <w:sz w:val="28"/>
          <w:szCs w:val="28"/>
        </w:rPr>
        <w:t xml:space="preserve"> до шести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передбачена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права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приїзду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науковців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діячів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запрошення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визначатися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додатковими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договорами,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укладеними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вітчизняним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закладом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запрошеною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особою.</w:t>
      </w:r>
    </w:p>
    <w:p w:rsidR="0011425B" w:rsidRPr="0011425B" w:rsidRDefault="0011425B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25B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трансферно-накопичувальної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повинне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ґрунтуватися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зіставленні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досягнуто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здобувачем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запланованих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освітньою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закладу,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11425B" w:rsidRPr="0011425B" w:rsidRDefault="0011425B" w:rsidP="0011425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здобувач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установі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) —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партнері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базі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мобільність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виконав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вищого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установи), в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постійній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запропоновано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індивідуальний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графік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25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1425B">
        <w:rPr>
          <w:rFonts w:ascii="Times New Roman" w:hAnsi="Times New Roman" w:cs="Times New Roman"/>
          <w:sz w:val="28"/>
          <w:szCs w:val="28"/>
        </w:rPr>
        <w:t>.</w:t>
      </w:r>
    </w:p>
    <w:p w:rsidR="00FB2AD2" w:rsidRPr="0011425B" w:rsidRDefault="00FB2AD2" w:rsidP="001142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B2AD2" w:rsidRPr="0011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DC"/>
    <w:rsid w:val="0011425B"/>
    <w:rsid w:val="00BD60DC"/>
    <w:rsid w:val="00F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0280A-CE80-41C5-B2A0-48C7603E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1464</Words>
  <Characters>8346</Characters>
  <Application>Microsoft Office Word</Application>
  <DocSecurity>0</DocSecurity>
  <Lines>69</Lines>
  <Paragraphs>19</Paragraphs>
  <ScaleCrop>false</ScaleCrop>
  <Company/>
  <LinksUpToDate>false</LinksUpToDate>
  <CharactersWithSpaces>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Андрый Козак</dc:creator>
  <cp:keywords/>
  <dc:description/>
  <cp:lastModifiedBy>Андрый Козак</cp:lastModifiedBy>
  <cp:revision>2</cp:revision>
  <dcterms:created xsi:type="dcterms:W3CDTF">2018-01-08T10:51:00Z</dcterms:created>
  <dcterms:modified xsi:type="dcterms:W3CDTF">2018-01-08T10:54:00Z</dcterms:modified>
</cp:coreProperties>
</file>