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57" w:rsidRDefault="00DD1D11" w:rsidP="00DD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74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Профіль освітньої програми </w:t>
      </w:r>
      <w:r w:rsidR="005E5C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підготовки магістрів </w:t>
      </w:r>
    </w:p>
    <w:p w:rsidR="00DD1D11" w:rsidRDefault="00DD1D11" w:rsidP="00DD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E74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зі спеціальності </w:t>
      </w:r>
      <w:r w:rsidRPr="002E746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101 «Еколог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</w:t>
      </w:r>
      <w:r w:rsidRPr="002E746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»</w:t>
      </w:r>
    </w:p>
    <w:p w:rsidR="00DD1D11" w:rsidRDefault="00DD1D11" w:rsidP="00DD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DD1D11" w:rsidRPr="008C5F51" w:rsidRDefault="00DD1D11" w:rsidP="00DD1D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6"/>
          <w:szCs w:val="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128"/>
        <w:gridCol w:w="7335"/>
      </w:tblGrid>
      <w:tr w:rsidR="00DD1D11" w:rsidRPr="002E746C" w:rsidTr="008B6CE6">
        <w:tc>
          <w:tcPr>
            <w:tcW w:w="9570" w:type="dxa"/>
            <w:gridSpan w:val="3"/>
            <w:shd w:val="clear" w:color="auto" w:fill="E0E0E0"/>
          </w:tcPr>
          <w:p w:rsidR="00DD1D11" w:rsidRPr="002E746C" w:rsidRDefault="00DD1D11" w:rsidP="008B6C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746C">
              <w:rPr>
                <w:rFonts w:ascii="Times New Roman" w:hAnsi="Times New Roman" w:cs="Times New Roman"/>
                <w:b/>
                <w:bCs/>
                <w:lang w:val="uk-UA"/>
              </w:rPr>
              <w:t>1 – Загальна інформація</w:t>
            </w:r>
          </w:p>
        </w:tc>
      </w:tr>
      <w:tr w:rsidR="00DD1D11" w:rsidRPr="008C5F51" w:rsidTr="008B6CE6">
        <w:tc>
          <w:tcPr>
            <w:tcW w:w="2107" w:type="dxa"/>
          </w:tcPr>
          <w:p w:rsidR="00DD1D11" w:rsidRPr="008C5F51" w:rsidRDefault="00DD1D11" w:rsidP="008B6CE6">
            <w:pPr>
              <w:tabs>
                <w:tab w:val="num" w:pos="85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Ступінь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вищої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кваліфікації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мовою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оригіналу</w:t>
            </w:r>
            <w:proofErr w:type="spellEnd"/>
          </w:p>
        </w:tc>
        <w:tc>
          <w:tcPr>
            <w:tcW w:w="7463" w:type="dxa"/>
            <w:gridSpan w:val="2"/>
          </w:tcPr>
          <w:p w:rsidR="00DD1D11" w:rsidRPr="006C4630" w:rsidRDefault="00DD1D11" w:rsidP="008B6C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Магістр; магістр з екології</w:t>
            </w:r>
          </w:p>
        </w:tc>
      </w:tr>
      <w:tr w:rsidR="005E5C57" w:rsidRPr="008C5F51" w:rsidTr="008B6CE6">
        <w:tc>
          <w:tcPr>
            <w:tcW w:w="2107" w:type="dxa"/>
          </w:tcPr>
          <w:p w:rsidR="005E5C57" w:rsidRPr="005E5C57" w:rsidRDefault="005E5C57" w:rsidP="005E5C57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Галузь знань</w:t>
            </w:r>
          </w:p>
        </w:tc>
        <w:tc>
          <w:tcPr>
            <w:tcW w:w="7463" w:type="dxa"/>
            <w:gridSpan w:val="2"/>
          </w:tcPr>
          <w:p w:rsidR="005E5C57" w:rsidRDefault="005E5C57" w:rsidP="008B6C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 «Природничі науки»</w:t>
            </w:r>
          </w:p>
        </w:tc>
      </w:tr>
      <w:tr w:rsidR="005E5C57" w:rsidRPr="008C5F51" w:rsidTr="008B6CE6">
        <w:tc>
          <w:tcPr>
            <w:tcW w:w="2107" w:type="dxa"/>
          </w:tcPr>
          <w:p w:rsidR="005E5C57" w:rsidRDefault="005E5C57" w:rsidP="005E5C57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Спеціальність</w:t>
            </w:r>
          </w:p>
        </w:tc>
        <w:tc>
          <w:tcPr>
            <w:tcW w:w="7463" w:type="dxa"/>
            <w:gridSpan w:val="2"/>
          </w:tcPr>
          <w:p w:rsidR="005E5C57" w:rsidRDefault="005E5C57" w:rsidP="008B6C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 «Екологія»</w:t>
            </w:r>
          </w:p>
        </w:tc>
      </w:tr>
      <w:tr w:rsidR="005E5C57" w:rsidRPr="008C5F51" w:rsidTr="008B6CE6">
        <w:trPr>
          <w:trHeight w:val="573"/>
        </w:trPr>
        <w:tc>
          <w:tcPr>
            <w:tcW w:w="2107" w:type="dxa"/>
          </w:tcPr>
          <w:p w:rsidR="005E5C57" w:rsidRPr="005E5C57" w:rsidRDefault="005E5C57" w:rsidP="005E5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Вищий навчальний заклад</w:t>
            </w:r>
          </w:p>
        </w:tc>
        <w:tc>
          <w:tcPr>
            <w:tcW w:w="7463" w:type="dxa"/>
            <w:gridSpan w:val="2"/>
          </w:tcPr>
          <w:p w:rsidR="005E5C57" w:rsidRPr="006C4630" w:rsidRDefault="005E5C57" w:rsidP="008B6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ветеринарної медицини та біотехнологій імені С.З.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Гжицького</w:t>
            </w:r>
            <w:proofErr w:type="spellEnd"/>
          </w:p>
        </w:tc>
      </w:tr>
      <w:tr w:rsidR="00DD1D11" w:rsidRPr="008C5F51" w:rsidTr="008B6CE6">
        <w:tc>
          <w:tcPr>
            <w:tcW w:w="2107" w:type="dxa"/>
          </w:tcPr>
          <w:p w:rsidR="00DD1D11" w:rsidRPr="008C5F51" w:rsidRDefault="00DD1D11" w:rsidP="008B6CE6">
            <w:pPr>
              <w:spacing w:after="0"/>
              <w:rPr>
                <w:rFonts w:ascii="Times New Roman" w:hAnsi="Times New Roman" w:cs="Times New Roman"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 xml:space="preserve">Тип диплому та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обсяг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освітньої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  <w:tc>
          <w:tcPr>
            <w:tcW w:w="7463" w:type="dxa"/>
            <w:gridSpan w:val="2"/>
          </w:tcPr>
          <w:p w:rsidR="00DD1D11" w:rsidRPr="005E5C57" w:rsidRDefault="00DD1D11" w:rsidP="008B6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6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6C4630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  <w:r w:rsidRPr="006C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4630">
              <w:rPr>
                <w:rFonts w:ascii="Times New Roman" w:hAnsi="Times New Roman" w:cs="Times New Roman"/>
                <w:sz w:val="24"/>
                <w:szCs w:val="24"/>
              </w:rPr>
              <w:t>одиничний</w:t>
            </w:r>
            <w:proofErr w:type="spellEnd"/>
            <w:r w:rsidRPr="006C4630">
              <w:rPr>
                <w:rFonts w:ascii="Times New Roman" w:hAnsi="Times New Roman" w:cs="Times New Roman"/>
                <w:sz w:val="24"/>
                <w:szCs w:val="24"/>
              </w:rPr>
              <w:t xml:space="preserve">, 90 </w:t>
            </w:r>
            <w:proofErr w:type="spellStart"/>
            <w:r w:rsidRPr="006C4630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6C4630">
              <w:rPr>
                <w:rFonts w:ascii="Times New Roman" w:hAnsi="Times New Roman" w:cs="Times New Roman"/>
                <w:sz w:val="24"/>
                <w:szCs w:val="24"/>
              </w:rPr>
              <w:t xml:space="preserve"> ЄКТС, </w:t>
            </w:r>
            <w:r w:rsidRPr="006C46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4630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6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63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5E5C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E5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5E5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="005E5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4</w:t>
            </w:r>
            <w:r w:rsidRPr="006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</w:t>
            </w:r>
          </w:p>
        </w:tc>
      </w:tr>
      <w:tr w:rsidR="005E5C57" w:rsidRPr="008C5F51" w:rsidTr="008B6CE6">
        <w:tc>
          <w:tcPr>
            <w:tcW w:w="2107" w:type="dxa"/>
          </w:tcPr>
          <w:p w:rsidR="005E5C57" w:rsidRPr="005E5C57" w:rsidRDefault="005E5C57" w:rsidP="005E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E5C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Організація, що здійснює акредитацію</w:t>
            </w:r>
          </w:p>
        </w:tc>
        <w:tc>
          <w:tcPr>
            <w:tcW w:w="7463" w:type="dxa"/>
            <w:gridSpan w:val="2"/>
          </w:tcPr>
          <w:p w:rsidR="005E5C57" w:rsidRPr="005E5C57" w:rsidRDefault="005E5C57" w:rsidP="005E5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5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Акредитаційна</w:t>
            </w:r>
            <w:proofErr w:type="spellEnd"/>
            <w:r w:rsidRPr="005E5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комісія України</w:t>
            </w:r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tabs>
                <w:tab w:val="num" w:pos="851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акредитації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5E5C57" w:rsidRDefault="005E5C57" w:rsidP="005E5C5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</w:tc>
      </w:tr>
      <w:tr w:rsidR="005E5C57" w:rsidRPr="008C5F51" w:rsidTr="005E5C57">
        <w:trPr>
          <w:trHeight w:val="539"/>
        </w:trPr>
        <w:tc>
          <w:tcPr>
            <w:tcW w:w="2107" w:type="dxa"/>
          </w:tcPr>
          <w:p w:rsidR="005E5C57" w:rsidRPr="008C5F51" w:rsidRDefault="005E5C57" w:rsidP="005E5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>Цикл/</w:t>
            </w:r>
            <w:proofErr w:type="spellStart"/>
            <w:proofErr w:type="gramStart"/>
            <w:r w:rsidRPr="008C5F51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8C5F51">
              <w:rPr>
                <w:rFonts w:ascii="Times New Roman" w:hAnsi="Times New Roman" w:cs="Times New Roman"/>
                <w:b/>
                <w:bCs/>
              </w:rPr>
              <w:t>івень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6C4630" w:rsidRDefault="005E5C57" w:rsidP="005E5C57">
            <w:pPr>
              <w:rPr>
                <w:rFonts w:ascii="Times New Roman" w:hAnsi="Times New Roman" w:cs="Times New Roman"/>
              </w:rPr>
            </w:pPr>
            <w:r w:rsidRPr="006C4630">
              <w:rPr>
                <w:rFonts w:ascii="Times New Roman" w:hAnsi="Times New Roman" w:cs="Times New Roman"/>
                <w:color w:val="000000"/>
              </w:rPr>
              <w:t xml:space="preserve">НРК </w:t>
            </w:r>
            <w:proofErr w:type="spellStart"/>
            <w:r w:rsidRPr="006C4630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6C4630">
              <w:rPr>
                <w:rFonts w:ascii="Times New Roman" w:hAnsi="Times New Roman" w:cs="Times New Roman"/>
                <w:color w:val="000000"/>
              </w:rPr>
              <w:t xml:space="preserve"> – 7 </w:t>
            </w:r>
            <w:proofErr w:type="spellStart"/>
            <w:proofErr w:type="gramStart"/>
            <w:r w:rsidRPr="006C463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6C4630">
              <w:rPr>
                <w:rFonts w:ascii="Times New Roman" w:hAnsi="Times New Roman" w:cs="Times New Roman"/>
                <w:color w:val="000000"/>
              </w:rPr>
              <w:t>івень</w:t>
            </w:r>
            <w:proofErr w:type="spellEnd"/>
            <w:r w:rsidRPr="006C4630">
              <w:rPr>
                <w:rFonts w:ascii="Times New Roman" w:hAnsi="Times New Roman" w:cs="Times New Roman"/>
                <w:color w:val="000000"/>
              </w:rPr>
              <w:t xml:space="preserve">,  FQ-EHEA – </w:t>
            </w:r>
            <w:proofErr w:type="spellStart"/>
            <w:r w:rsidRPr="006C4630">
              <w:rPr>
                <w:rFonts w:ascii="Times New Roman" w:hAnsi="Times New Roman" w:cs="Times New Roman"/>
                <w:color w:val="000000"/>
              </w:rPr>
              <w:t>другий</w:t>
            </w:r>
            <w:proofErr w:type="spellEnd"/>
            <w:r w:rsidRPr="006C4630">
              <w:rPr>
                <w:rFonts w:ascii="Times New Roman" w:hAnsi="Times New Roman" w:cs="Times New Roman"/>
                <w:color w:val="000000"/>
              </w:rPr>
              <w:t xml:space="preserve"> цикл, </w:t>
            </w:r>
            <w:r w:rsidRPr="006C4630">
              <w:rPr>
                <w:rFonts w:ascii="Times New Roman" w:hAnsi="Times New Roman" w:cs="Times New Roman"/>
                <w:color w:val="000000"/>
              </w:rPr>
              <w:br/>
              <w:t xml:space="preserve">ЕQF-LLL – 7 </w:t>
            </w:r>
            <w:proofErr w:type="spellStart"/>
            <w:r w:rsidRPr="006C4630">
              <w:rPr>
                <w:rFonts w:ascii="Times New Roman" w:hAnsi="Times New Roman" w:cs="Times New Roman"/>
                <w:color w:val="000000"/>
              </w:rPr>
              <w:t>рівень</w:t>
            </w:r>
            <w:proofErr w:type="spellEnd"/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Передумови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8C5F51" w:rsidRDefault="005E5C57" w:rsidP="005E5C57">
            <w:pPr>
              <w:rPr>
                <w:rFonts w:ascii="Times New Roman" w:hAnsi="Times New Roman" w:cs="Times New Roman"/>
              </w:rPr>
            </w:pPr>
            <w:proofErr w:type="spellStart"/>
            <w:r w:rsidRPr="008C5F5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8C5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</w:rPr>
              <w:t>ступеня</w:t>
            </w:r>
            <w:proofErr w:type="spellEnd"/>
            <w:r w:rsidRPr="008C5F51">
              <w:rPr>
                <w:rFonts w:ascii="Times New Roman" w:hAnsi="Times New Roman" w:cs="Times New Roman"/>
              </w:rPr>
              <w:t xml:space="preserve"> бакалавра</w:t>
            </w:r>
          </w:p>
        </w:tc>
      </w:tr>
      <w:tr w:rsidR="005E5C57" w:rsidRPr="008C5F51" w:rsidTr="008B6CE6">
        <w:tc>
          <w:tcPr>
            <w:tcW w:w="9570" w:type="dxa"/>
            <w:gridSpan w:val="3"/>
            <w:shd w:val="clear" w:color="auto" w:fill="E0E0E0"/>
          </w:tcPr>
          <w:p w:rsidR="005E5C57" w:rsidRPr="008C5F51" w:rsidRDefault="005E5C57" w:rsidP="005E5C57">
            <w:pPr>
              <w:jc w:val="center"/>
              <w:rPr>
                <w:rFonts w:ascii="Times New Roman" w:hAnsi="Times New Roman" w:cs="Times New Roman"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 xml:space="preserve">2 – Мета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освітньої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3" w:type="dxa"/>
            <w:gridSpan w:val="2"/>
          </w:tcPr>
          <w:p w:rsidR="005E5C57" w:rsidRPr="002E746C" w:rsidRDefault="005E5C57" w:rsidP="005E5C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програми є підготовка висококваліфікованих і професійних екологів, здатних вирішувати наукові задачі та питання щодо зменшення рівня антропогенного впливу на природне середовище, розробки ефективних природоохоронних заходів, проведення природоохоронної та просвітницької діяльності, а також розв’язувати практичні завдання у галузі екології та охорони навколишнього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2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середовища.</w:t>
            </w:r>
          </w:p>
        </w:tc>
      </w:tr>
      <w:tr w:rsidR="005E5C57" w:rsidRPr="008C5F51" w:rsidTr="008B6CE6">
        <w:tc>
          <w:tcPr>
            <w:tcW w:w="9570" w:type="dxa"/>
            <w:gridSpan w:val="3"/>
            <w:shd w:val="clear" w:color="auto" w:fill="E0E0E0"/>
          </w:tcPr>
          <w:p w:rsidR="005E5C57" w:rsidRPr="008C5F51" w:rsidRDefault="005E5C57" w:rsidP="005E5C57">
            <w:pPr>
              <w:jc w:val="center"/>
              <w:rPr>
                <w:rFonts w:ascii="Times New Roman" w:hAnsi="Times New Roman" w:cs="Times New Roman"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 xml:space="preserve">3 - Характеристика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освітньої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</w:tr>
      <w:tr w:rsidR="005E5C57" w:rsidRPr="008C5F51" w:rsidTr="008B6CE6">
        <w:tc>
          <w:tcPr>
            <w:tcW w:w="2235" w:type="dxa"/>
            <w:gridSpan w:val="2"/>
          </w:tcPr>
          <w:p w:rsidR="005E5C57" w:rsidRPr="008C5F51" w:rsidRDefault="005E5C57" w:rsidP="005E5C57">
            <w:pPr>
              <w:tabs>
                <w:tab w:val="num" w:pos="851"/>
              </w:tabs>
              <w:rPr>
                <w:rFonts w:ascii="Times New Roman" w:hAnsi="Times New Roman" w:cs="Times New Roman"/>
                <w:b/>
                <w:bCs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>Предметна область (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галузь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знань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8C5F51">
              <w:rPr>
                <w:rFonts w:ascii="Times New Roman" w:hAnsi="Times New Roman" w:cs="Times New Roman"/>
                <w:b/>
                <w:bCs/>
              </w:rPr>
              <w:t>спец</w:t>
            </w:r>
            <w:proofErr w:type="gramEnd"/>
            <w:r w:rsidRPr="008C5F51">
              <w:rPr>
                <w:rFonts w:ascii="Times New Roman" w:hAnsi="Times New Roman" w:cs="Times New Roman"/>
                <w:b/>
                <w:bCs/>
              </w:rPr>
              <w:t>іальність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спеціалізація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(за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наявності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>))</w:t>
            </w:r>
          </w:p>
        </w:tc>
        <w:tc>
          <w:tcPr>
            <w:tcW w:w="7335" w:type="dxa"/>
          </w:tcPr>
          <w:p w:rsidR="005E5C57" w:rsidRPr="00CA20AC" w:rsidRDefault="005E5C57" w:rsidP="005E5C57">
            <w:pPr>
              <w:pStyle w:val="TableParagraph"/>
              <w:spacing w:before="37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A20AC">
              <w:rPr>
                <w:sz w:val="24"/>
                <w:szCs w:val="24"/>
                <w:lang w:val="uk-UA"/>
              </w:rPr>
              <w:t>Природничі науки</w:t>
            </w:r>
          </w:p>
          <w:p w:rsidR="005E5C57" w:rsidRPr="008C5F51" w:rsidRDefault="005E5C57" w:rsidP="005E5C5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CA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підготовки складається із 3 циклів підготовки та державної атестації.</w:t>
            </w:r>
          </w:p>
        </w:tc>
      </w:tr>
      <w:tr w:rsidR="005E5C57" w:rsidRPr="008C5F51" w:rsidTr="008B6CE6">
        <w:tc>
          <w:tcPr>
            <w:tcW w:w="2235" w:type="dxa"/>
            <w:gridSpan w:val="2"/>
          </w:tcPr>
          <w:p w:rsidR="005E5C57" w:rsidRPr="008C5F51" w:rsidRDefault="005E5C57" w:rsidP="005E5C57">
            <w:pPr>
              <w:tabs>
                <w:tab w:val="num" w:pos="851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Орієнтація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освітньої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  <w:tc>
          <w:tcPr>
            <w:tcW w:w="7335" w:type="dxa"/>
          </w:tcPr>
          <w:p w:rsidR="005E5C57" w:rsidRPr="000E4D49" w:rsidRDefault="005E5C57" w:rsidP="005E5C57">
            <w:pPr>
              <w:spacing w:after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0E4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професійна прикладна: структура програми передбачає динамічне та інтерактивне навчання. Програма пропонує комплексний підхід до вирішення сучасних екологічних проблем на локальному, регіональному та національному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рівнях. Дисципліни та розділи</w:t>
            </w:r>
            <w:r w:rsidRPr="000E4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засновані на теоретичних знаннях, які тісно пов’язані з практичними навичками. Програма дозволяє студентам </w:t>
            </w:r>
            <w:r w:rsidRPr="000E4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набути необхідних навичок в галузі екології,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хорони навколишнього середовища та</w:t>
            </w:r>
            <w:r w:rsidRPr="000E4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екологічної безпеки.</w:t>
            </w:r>
          </w:p>
        </w:tc>
      </w:tr>
      <w:tr w:rsidR="005E5C57" w:rsidRPr="008C5F51" w:rsidTr="008B6CE6">
        <w:tc>
          <w:tcPr>
            <w:tcW w:w="2235" w:type="dxa"/>
            <w:gridSpan w:val="2"/>
          </w:tcPr>
          <w:p w:rsidR="005E5C57" w:rsidRPr="008C5F51" w:rsidRDefault="005E5C57" w:rsidP="005E5C57">
            <w:pPr>
              <w:tabs>
                <w:tab w:val="num" w:pos="851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lastRenderedPageBreak/>
              <w:t>Основний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фокус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освітньої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proofErr w:type="gramStart"/>
            <w:r w:rsidRPr="008C5F51">
              <w:rPr>
                <w:rFonts w:ascii="Times New Roman" w:hAnsi="Times New Roman" w:cs="Times New Roman"/>
                <w:b/>
                <w:bCs/>
              </w:rPr>
              <w:t>спец</w:t>
            </w:r>
            <w:proofErr w:type="gramEnd"/>
            <w:r w:rsidRPr="008C5F51">
              <w:rPr>
                <w:rFonts w:ascii="Times New Roman" w:hAnsi="Times New Roman" w:cs="Times New Roman"/>
                <w:b/>
                <w:bCs/>
              </w:rPr>
              <w:t>іалізації</w:t>
            </w:r>
            <w:proofErr w:type="spellEnd"/>
          </w:p>
        </w:tc>
        <w:tc>
          <w:tcPr>
            <w:tcW w:w="7335" w:type="dxa"/>
          </w:tcPr>
          <w:p w:rsidR="005E5C57" w:rsidRPr="00276803" w:rsidRDefault="005E5C57" w:rsidP="005E5C57">
            <w:pPr>
              <w:pStyle w:val="TableParagraph"/>
              <w:spacing w:before="37"/>
              <w:ind w:left="0" w:right="103"/>
              <w:rPr>
                <w:sz w:val="24"/>
                <w:szCs w:val="24"/>
                <w:lang w:val="uk-UA"/>
              </w:rPr>
            </w:pPr>
            <w:r w:rsidRPr="00A42E02">
              <w:rPr>
                <w:sz w:val="24"/>
                <w:szCs w:val="24"/>
                <w:lang w:val="uk-UA"/>
              </w:rPr>
              <w:t>Загальна програма: «Екологія». Акцент робиться на здобутті навичок та знань з екології та охорони навколишнього середовища, що передбачає визначену зайнятість та можливість подальшої освіти та кар’єрного зростання.</w:t>
            </w:r>
          </w:p>
        </w:tc>
      </w:tr>
      <w:tr w:rsidR="005E5C57" w:rsidRPr="008C5F51" w:rsidTr="008B6CE6">
        <w:trPr>
          <w:trHeight w:val="698"/>
        </w:trPr>
        <w:tc>
          <w:tcPr>
            <w:tcW w:w="2235" w:type="dxa"/>
            <w:gridSpan w:val="2"/>
          </w:tcPr>
          <w:p w:rsidR="005E5C57" w:rsidRPr="008C5F51" w:rsidRDefault="005E5C57" w:rsidP="005E5C57">
            <w:pPr>
              <w:tabs>
                <w:tab w:val="num" w:pos="426"/>
                <w:tab w:val="num" w:pos="851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Особливості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  <w:tc>
          <w:tcPr>
            <w:tcW w:w="7335" w:type="dxa"/>
          </w:tcPr>
          <w:p w:rsidR="005E5C57" w:rsidRPr="008B224E" w:rsidRDefault="005E5C57" w:rsidP="005E5C5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має</w:t>
            </w:r>
          </w:p>
        </w:tc>
      </w:tr>
      <w:tr w:rsidR="005E5C57" w:rsidRPr="008C5F51" w:rsidTr="008B6CE6">
        <w:tc>
          <w:tcPr>
            <w:tcW w:w="9570" w:type="dxa"/>
            <w:gridSpan w:val="3"/>
            <w:shd w:val="clear" w:color="auto" w:fill="E0E0E0"/>
          </w:tcPr>
          <w:p w:rsidR="005E5C57" w:rsidRPr="008C5F51" w:rsidRDefault="005E5C57" w:rsidP="005E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 xml:space="preserve">4 –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Придатність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випускників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E5C57" w:rsidRPr="008C5F51" w:rsidRDefault="005E5C57" w:rsidP="005E5C57">
            <w:pPr>
              <w:jc w:val="center"/>
              <w:rPr>
                <w:rFonts w:ascii="Times New Roman" w:hAnsi="Times New Roman" w:cs="Times New Roman"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працевлаштування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подальшого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навчання</w:t>
            </w:r>
            <w:proofErr w:type="spellEnd"/>
          </w:p>
        </w:tc>
      </w:tr>
      <w:tr w:rsidR="005E5C57" w:rsidRPr="008C5F51" w:rsidTr="008B6CE6">
        <w:tc>
          <w:tcPr>
            <w:tcW w:w="2235" w:type="dxa"/>
            <w:gridSpan w:val="2"/>
          </w:tcPr>
          <w:p w:rsidR="005E5C57" w:rsidRPr="008C5F51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Придатність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працевлаштування</w:t>
            </w:r>
            <w:proofErr w:type="spellEnd"/>
          </w:p>
        </w:tc>
        <w:tc>
          <w:tcPr>
            <w:tcW w:w="7335" w:type="dxa"/>
          </w:tcPr>
          <w:p w:rsidR="005E5C57" w:rsidRPr="00CA20AC" w:rsidRDefault="005E5C57" w:rsidP="005E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Випускники спеціальності «Екологія» можуть працювати в таких галузях як: сільське господарство, мисливство та надання пов’язаних із ними послуг дослідження й експериментальні розробки у сфері природничих і технічних наук (дослідження й експериментальні розробки у сфері біотехнологій, інших природничих і технічних наук); робота у навчальних (професійно-технічна освіта на рівні вищого професійно-технічного навчального закладу; вища освіта; інші види освіти) і науково-дослідних установах відповідного профілю; надання ландшафтних послуг (рослини для захисту від шуму, вітру, ерозії, видимості та яскравості; збереження ландшафту    та    догляд    за    ним);    державне  управління.</w:t>
            </w:r>
          </w:p>
        </w:tc>
      </w:tr>
      <w:tr w:rsidR="005E5C57" w:rsidRPr="008C5F51" w:rsidTr="008B6CE6">
        <w:tc>
          <w:tcPr>
            <w:tcW w:w="2235" w:type="dxa"/>
            <w:gridSpan w:val="2"/>
          </w:tcPr>
          <w:p w:rsidR="005E5C57" w:rsidRPr="008C5F51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 xml:space="preserve">Подальше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7335" w:type="dxa"/>
          </w:tcPr>
          <w:p w:rsidR="005E5C57" w:rsidRPr="00CA20AC" w:rsidRDefault="005E5C57" w:rsidP="005E5C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за спеціальністю «Екологія» може продовжити навчання в університеті чи іншому навчальному закладі відповідного рівня акредитації для отримання наукового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ступеня доктора філософії.</w:t>
            </w:r>
          </w:p>
        </w:tc>
      </w:tr>
      <w:tr w:rsidR="005E5C57" w:rsidRPr="008C5F51" w:rsidTr="008B6CE6">
        <w:tc>
          <w:tcPr>
            <w:tcW w:w="9570" w:type="dxa"/>
            <w:gridSpan w:val="3"/>
            <w:shd w:val="clear" w:color="auto" w:fill="E0E0E0"/>
          </w:tcPr>
          <w:p w:rsidR="005E5C57" w:rsidRPr="008C5F51" w:rsidRDefault="005E5C57" w:rsidP="005E5C57">
            <w:pPr>
              <w:jc w:val="center"/>
              <w:rPr>
                <w:rFonts w:ascii="Times New Roman" w:hAnsi="Times New Roman" w:cs="Times New Roman"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 xml:space="preserve">5 –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Викладання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оцінювання</w:t>
            </w:r>
            <w:proofErr w:type="spellEnd"/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Викладання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CA20AC" w:rsidRDefault="005E5C57" w:rsidP="005E5C5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CA2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проводиться у вигляді лекцій, практичних  занять, лабораторних робіт, семінарів, індивідуальних занять, роботи в малих групах, проходження практики, консультацій з викладачами, самостійної роботи студентів.</w:t>
            </w:r>
          </w:p>
        </w:tc>
      </w:tr>
      <w:tr w:rsidR="005E5C57" w:rsidRPr="005E5C57" w:rsidTr="008B6CE6">
        <w:tc>
          <w:tcPr>
            <w:tcW w:w="2107" w:type="dxa"/>
          </w:tcPr>
          <w:p w:rsidR="005E5C57" w:rsidRPr="008C5F51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Оцінювання</w:t>
            </w:r>
            <w:proofErr w:type="spellEnd"/>
          </w:p>
        </w:tc>
        <w:tc>
          <w:tcPr>
            <w:tcW w:w="7463" w:type="dxa"/>
            <w:gridSpan w:val="2"/>
          </w:tcPr>
          <w:p w:rsidR="005E5C57" w:rsidRDefault="005E5C57" w:rsidP="005E5C57">
            <w:pPr>
              <w:pStyle w:val="TableParagraph"/>
              <w:tabs>
                <w:tab w:val="left" w:pos="868"/>
                <w:tab w:val="left" w:pos="1432"/>
                <w:tab w:val="left" w:pos="1472"/>
                <w:tab w:val="left" w:pos="1942"/>
                <w:tab w:val="left" w:pos="3076"/>
                <w:tab w:val="left" w:pos="3430"/>
                <w:tab w:val="left" w:pos="4031"/>
                <w:tab w:val="left" w:pos="4319"/>
                <w:tab w:val="left" w:pos="5083"/>
                <w:tab w:val="left" w:pos="5689"/>
              </w:tabs>
              <w:ind w:left="90" w:right="102"/>
              <w:jc w:val="left"/>
              <w:rPr>
                <w:sz w:val="24"/>
                <w:szCs w:val="24"/>
                <w:lang w:val="uk-UA"/>
              </w:rPr>
            </w:pPr>
            <w:r w:rsidRPr="00CA20AC">
              <w:rPr>
                <w:sz w:val="24"/>
                <w:szCs w:val="24"/>
                <w:lang w:val="uk-UA"/>
              </w:rPr>
              <w:t>Звіти</w:t>
            </w:r>
            <w:r w:rsidRPr="00CA20AC">
              <w:rPr>
                <w:sz w:val="24"/>
                <w:szCs w:val="24"/>
                <w:lang w:val="uk-UA"/>
              </w:rPr>
              <w:tab/>
              <w:t>про</w:t>
            </w:r>
            <w:r w:rsidRPr="00CA20AC">
              <w:rPr>
                <w:sz w:val="24"/>
                <w:szCs w:val="24"/>
                <w:lang w:val="uk-UA"/>
              </w:rPr>
              <w:tab/>
            </w:r>
            <w:r w:rsidRPr="00CA20AC">
              <w:rPr>
                <w:sz w:val="24"/>
                <w:szCs w:val="24"/>
                <w:lang w:val="uk-UA"/>
              </w:rPr>
              <w:tab/>
              <w:t>проходження</w:t>
            </w:r>
            <w:r w:rsidRPr="00CA20AC">
              <w:rPr>
                <w:sz w:val="24"/>
                <w:szCs w:val="24"/>
                <w:lang w:val="uk-UA"/>
              </w:rPr>
              <w:tab/>
              <w:t>практики,</w:t>
            </w:r>
            <w:r w:rsidRPr="00CA20AC">
              <w:rPr>
                <w:sz w:val="24"/>
                <w:szCs w:val="24"/>
                <w:lang w:val="uk-UA"/>
              </w:rPr>
              <w:tab/>
              <w:t>контрольні</w:t>
            </w:r>
            <w:r w:rsidRPr="00CA20AC">
              <w:rPr>
                <w:sz w:val="24"/>
                <w:szCs w:val="24"/>
                <w:lang w:val="uk-UA"/>
              </w:rPr>
              <w:tab/>
              <w:t xml:space="preserve">роботи, тестування, підготовка презентацій, курсові роботи, письмові та усні екзамени. </w:t>
            </w:r>
          </w:p>
          <w:p w:rsidR="005E5C57" w:rsidRDefault="005E5C57" w:rsidP="005E5C57">
            <w:pPr>
              <w:pStyle w:val="TableParagraph"/>
              <w:tabs>
                <w:tab w:val="left" w:pos="868"/>
                <w:tab w:val="left" w:pos="1432"/>
                <w:tab w:val="left" w:pos="1472"/>
                <w:tab w:val="left" w:pos="1942"/>
                <w:tab w:val="left" w:pos="2571"/>
                <w:tab w:val="left" w:pos="2996"/>
                <w:tab w:val="left" w:pos="4031"/>
                <w:tab w:val="left" w:pos="4319"/>
                <w:tab w:val="left" w:pos="4414"/>
                <w:tab w:val="left" w:pos="5689"/>
              </w:tabs>
              <w:ind w:left="90" w:right="102"/>
              <w:jc w:val="left"/>
              <w:rPr>
                <w:sz w:val="24"/>
                <w:szCs w:val="24"/>
                <w:lang w:val="uk-UA"/>
              </w:rPr>
            </w:pPr>
            <w:r w:rsidRPr="00CA20AC">
              <w:rPr>
                <w:sz w:val="24"/>
                <w:szCs w:val="24"/>
                <w:lang w:val="uk-UA"/>
              </w:rPr>
              <w:t>Підсумкова атестація</w:t>
            </w:r>
            <w:r w:rsidRPr="00CA20AC">
              <w:rPr>
                <w:sz w:val="24"/>
                <w:szCs w:val="24"/>
                <w:lang w:val="uk-UA"/>
              </w:rPr>
              <w:tab/>
              <w:t>–</w:t>
            </w:r>
            <w:r w:rsidRPr="00CA20AC">
              <w:rPr>
                <w:sz w:val="24"/>
                <w:szCs w:val="24"/>
                <w:lang w:val="uk-UA"/>
              </w:rPr>
              <w:tab/>
              <w:t>підготовка</w:t>
            </w:r>
            <w:r w:rsidRPr="00CA20AC">
              <w:rPr>
                <w:sz w:val="24"/>
                <w:szCs w:val="24"/>
                <w:lang w:val="uk-UA"/>
              </w:rPr>
              <w:tab/>
            </w:r>
            <w:r w:rsidRPr="00CA20AC">
              <w:rPr>
                <w:sz w:val="24"/>
                <w:szCs w:val="24"/>
                <w:lang w:val="uk-UA"/>
              </w:rPr>
              <w:tab/>
              <w:t xml:space="preserve">та </w:t>
            </w:r>
            <w:r>
              <w:rPr>
                <w:sz w:val="24"/>
                <w:szCs w:val="24"/>
                <w:lang w:val="uk-UA"/>
              </w:rPr>
              <w:t xml:space="preserve"> захист  </w:t>
            </w:r>
            <w:r w:rsidRPr="00CA20AC">
              <w:rPr>
                <w:sz w:val="24"/>
                <w:szCs w:val="24"/>
                <w:lang w:val="uk-UA"/>
              </w:rPr>
              <w:t>магістерської кваліфікаційної роботи.</w:t>
            </w:r>
          </w:p>
          <w:p w:rsidR="005E5C57" w:rsidRPr="00CA20AC" w:rsidRDefault="005E5C57" w:rsidP="005E5C57">
            <w:pPr>
              <w:pStyle w:val="TableParagraph"/>
              <w:tabs>
                <w:tab w:val="left" w:pos="868"/>
                <w:tab w:val="left" w:pos="1432"/>
                <w:tab w:val="left" w:pos="1472"/>
                <w:tab w:val="left" w:pos="1942"/>
                <w:tab w:val="left" w:pos="2571"/>
                <w:tab w:val="left" w:pos="2996"/>
                <w:tab w:val="left" w:pos="4031"/>
                <w:tab w:val="left" w:pos="4319"/>
                <w:tab w:val="left" w:pos="4414"/>
                <w:tab w:val="left" w:pos="5689"/>
              </w:tabs>
              <w:ind w:left="90" w:right="102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5E5C57" w:rsidRPr="008C5F51" w:rsidTr="008B6CE6">
        <w:tc>
          <w:tcPr>
            <w:tcW w:w="9570" w:type="dxa"/>
            <w:gridSpan w:val="3"/>
            <w:shd w:val="clear" w:color="auto" w:fill="E0E0E0"/>
          </w:tcPr>
          <w:p w:rsidR="005E5C57" w:rsidRPr="008C5F51" w:rsidRDefault="005E5C57" w:rsidP="005E5C57">
            <w:pPr>
              <w:jc w:val="center"/>
              <w:rPr>
                <w:rFonts w:ascii="Times New Roman" w:hAnsi="Times New Roman" w:cs="Times New Roman"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 xml:space="preserve">6 –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Програмні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компетентності</w:t>
            </w:r>
            <w:proofErr w:type="spellEnd"/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Інтегральна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компетентність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276803" w:rsidRDefault="005E5C57" w:rsidP="005E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Здатність розв’язувати складні задачі і проблеми у сфері екології, охорони довкілля та збалансованого природокористування при здійсненні професійної діяльності</w:t>
            </w:r>
          </w:p>
        </w:tc>
      </w:tr>
      <w:tr w:rsidR="005E5C57" w:rsidRPr="00EE6AAE" w:rsidTr="008B6CE6">
        <w:trPr>
          <w:trHeight w:val="420"/>
        </w:trPr>
        <w:tc>
          <w:tcPr>
            <w:tcW w:w="2107" w:type="dxa"/>
          </w:tcPr>
          <w:p w:rsidR="005E5C57" w:rsidRPr="008C5F51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Загальні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компетентності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(ЗК)</w:t>
            </w:r>
          </w:p>
        </w:tc>
        <w:tc>
          <w:tcPr>
            <w:tcW w:w="7463" w:type="dxa"/>
            <w:gridSpan w:val="2"/>
          </w:tcPr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303"/>
              </w:tabs>
              <w:ind w:left="303" w:right="102" w:hanging="280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 використовувати сучасні методи захисту довкілля, принципи комплексного захисту природних екосистем і людського суспільства від екологічно небезпечних природних і техногенних процесів(явищ);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303"/>
              </w:tabs>
              <w:ind w:left="303" w:right="102" w:hanging="280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навички у використовуванні приладів і сучасного обладнання для оцінки екологічної безпеки на окремих територіях;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303"/>
              </w:tabs>
              <w:ind w:left="303" w:right="102" w:hanging="280"/>
              <w:rPr>
                <w:sz w:val="24"/>
                <w:szCs w:val="24"/>
                <w:lang w:val="uk-UA"/>
              </w:rPr>
            </w:pP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здатність </w:t>
            </w:r>
            <w:r w:rsidRPr="00276803">
              <w:rPr>
                <w:sz w:val="24"/>
                <w:szCs w:val="24"/>
                <w:lang w:val="uk-UA"/>
              </w:rPr>
              <w:t xml:space="preserve">застосувати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принципи організації </w:t>
            </w:r>
            <w:r w:rsidRPr="00276803">
              <w:rPr>
                <w:spacing w:val="-4"/>
                <w:sz w:val="24"/>
                <w:szCs w:val="24"/>
                <w:lang w:val="uk-UA"/>
              </w:rPr>
              <w:t xml:space="preserve">та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структури цивільного захисту України, правових, нормативно-технічних </w:t>
            </w:r>
            <w:r w:rsidRPr="00276803">
              <w:rPr>
                <w:spacing w:val="-5"/>
                <w:sz w:val="24"/>
                <w:szCs w:val="24"/>
                <w:lang w:val="uk-UA"/>
              </w:rPr>
              <w:t xml:space="preserve">та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організаційних основ </w:t>
            </w:r>
            <w:r w:rsidRPr="00276803">
              <w:rPr>
                <w:spacing w:val="-9"/>
                <w:sz w:val="24"/>
                <w:szCs w:val="24"/>
                <w:lang w:val="uk-UA"/>
              </w:rPr>
              <w:t xml:space="preserve">цивільного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захисту населення </w:t>
            </w:r>
            <w:proofErr w:type="spellStart"/>
            <w:r w:rsidRPr="00276803">
              <w:rPr>
                <w:sz w:val="24"/>
                <w:szCs w:val="24"/>
                <w:lang w:val="uk-UA"/>
              </w:rPr>
              <w:t>в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>спільній</w:t>
            </w:r>
            <w:proofErr w:type="spellEnd"/>
            <w:r w:rsidRPr="00276803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t xml:space="preserve">системі безпеки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держави,здатність </w:t>
            </w:r>
            <w:r w:rsidRPr="00276803">
              <w:rPr>
                <w:spacing w:val="-4"/>
                <w:sz w:val="24"/>
                <w:szCs w:val="24"/>
                <w:lang w:val="uk-UA"/>
              </w:rPr>
              <w:t xml:space="preserve">до їх </w:t>
            </w:r>
            <w:r w:rsidRPr="00276803">
              <w:rPr>
                <w:spacing w:val="-9"/>
                <w:sz w:val="24"/>
                <w:szCs w:val="24"/>
                <w:lang w:val="uk-UA"/>
              </w:rPr>
              <w:t xml:space="preserve">застосування </w:t>
            </w:r>
            <w:r w:rsidRPr="00276803">
              <w:rPr>
                <w:spacing w:val="-6"/>
                <w:sz w:val="24"/>
                <w:szCs w:val="24"/>
                <w:lang w:val="uk-UA"/>
              </w:rPr>
              <w:t xml:space="preserve">при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плануванні </w:t>
            </w:r>
            <w:r w:rsidRPr="00276803">
              <w:rPr>
                <w:sz w:val="24"/>
                <w:szCs w:val="24"/>
                <w:lang w:val="uk-UA"/>
              </w:rPr>
              <w:t xml:space="preserve">і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організації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lastRenderedPageBreak/>
              <w:t xml:space="preserve">заходів </w:t>
            </w:r>
            <w:r w:rsidRPr="00276803">
              <w:rPr>
                <w:spacing w:val="-4"/>
                <w:sz w:val="24"/>
                <w:szCs w:val="24"/>
                <w:lang w:val="uk-UA"/>
              </w:rPr>
              <w:t xml:space="preserve">із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захисту населення </w:t>
            </w:r>
            <w:r w:rsidRPr="00276803">
              <w:rPr>
                <w:sz w:val="24"/>
                <w:szCs w:val="24"/>
                <w:lang w:val="uk-UA"/>
              </w:rPr>
              <w:t xml:space="preserve">і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виробничого </w:t>
            </w:r>
            <w:r w:rsidRPr="00276803">
              <w:rPr>
                <w:spacing w:val="-9"/>
                <w:sz w:val="24"/>
                <w:szCs w:val="24"/>
                <w:lang w:val="uk-UA"/>
              </w:rPr>
              <w:t xml:space="preserve">персоналу </w:t>
            </w:r>
            <w:r w:rsidRPr="00276803">
              <w:rPr>
                <w:spacing w:val="-6"/>
                <w:sz w:val="24"/>
                <w:szCs w:val="24"/>
                <w:lang w:val="uk-UA"/>
              </w:rPr>
              <w:t xml:space="preserve">від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наслідків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t xml:space="preserve">аварій,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катастроф, стихійних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t>лих</w:t>
            </w:r>
            <w:r w:rsidRPr="00276803">
              <w:rPr>
                <w:b/>
                <w:bCs/>
                <w:spacing w:val="-7"/>
                <w:sz w:val="24"/>
                <w:szCs w:val="24"/>
                <w:lang w:val="uk-UA"/>
              </w:rPr>
              <w:t>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303"/>
              </w:tabs>
              <w:ind w:left="303" w:right="102" w:hanging="280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 приймати ефективні рішення у сфері цивільного захисту з урахуванням особливостей професійної діяльності, а також у разі  виникнення надзвичайних ситуацій  (аварій,катастроф);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303"/>
              </w:tabs>
              <w:ind w:left="303" w:right="102" w:hanging="280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 xml:space="preserve">здатність застосовувати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t xml:space="preserve">вимоги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нормативних </w:t>
            </w:r>
            <w:r w:rsidRPr="00276803">
              <w:rPr>
                <w:spacing w:val="-5"/>
                <w:sz w:val="24"/>
                <w:szCs w:val="24"/>
                <w:lang w:val="uk-UA"/>
              </w:rPr>
              <w:t xml:space="preserve">та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t xml:space="preserve">інших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законодавчих актів </w:t>
            </w:r>
            <w:r w:rsidRPr="00276803">
              <w:rPr>
                <w:sz w:val="24"/>
                <w:szCs w:val="24"/>
                <w:lang w:val="uk-UA"/>
              </w:rPr>
              <w:t xml:space="preserve">з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охорони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t xml:space="preserve">праці </w:t>
            </w:r>
            <w:r w:rsidRPr="00276803">
              <w:rPr>
                <w:spacing w:val="-6"/>
                <w:sz w:val="24"/>
                <w:szCs w:val="24"/>
                <w:lang w:val="uk-UA"/>
              </w:rPr>
              <w:t xml:space="preserve">при </w:t>
            </w:r>
            <w:r w:rsidRPr="00276803">
              <w:rPr>
                <w:spacing w:val="-9"/>
                <w:sz w:val="24"/>
                <w:szCs w:val="24"/>
                <w:lang w:val="uk-UA"/>
              </w:rPr>
              <w:t xml:space="preserve">забезпеченні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функціонування системи управління охороною праці </w:t>
            </w:r>
            <w:r w:rsidRPr="00276803">
              <w:rPr>
                <w:spacing w:val="-5"/>
                <w:sz w:val="24"/>
                <w:szCs w:val="24"/>
                <w:lang w:val="uk-UA"/>
              </w:rPr>
              <w:t xml:space="preserve">на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підприємстві, оцінці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t xml:space="preserve">стану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виробничого середовища, визначенні </w:t>
            </w:r>
            <w:r w:rsidRPr="00276803">
              <w:rPr>
                <w:spacing w:val="-6"/>
                <w:sz w:val="24"/>
                <w:szCs w:val="24"/>
                <w:lang w:val="uk-UA"/>
              </w:rPr>
              <w:t xml:space="preserve">умов </w:t>
            </w:r>
            <w:r w:rsidRPr="00276803">
              <w:rPr>
                <w:sz w:val="24"/>
                <w:szCs w:val="24"/>
                <w:lang w:val="uk-UA"/>
              </w:rPr>
              <w:t xml:space="preserve">і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засобів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t>його</w:t>
            </w:r>
            <w:r w:rsidRPr="00276803">
              <w:rPr>
                <w:spacing w:val="-9"/>
                <w:sz w:val="24"/>
                <w:szCs w:val="24"/>
                <w:lang w:val="uk-UA"/>
              </w:rPr>
              <w:t xml:space="preserve"> поліпшення;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303"/>
              </w:tabs>
              <w:ind w:left="303" w:right="102" w:hanging="280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 xml:space="preserve">знання принципів, методів та організаційних процедур наукової діяльності, загальнонаукових (традиційних, сучасних), конкретно-наукових (міждисциплінарних, спеціальних) методів досліджень, розуміння </w:t>
            </w:r>
            <w:proofErr w:type="spellStart"/>
            <w:r w:rsidRPr="00276803">
              <w:rPr>
                <w:sz w:val="24"/>
                <w:szCs w:val="24"/>
                <w:lang w:val="uk-UA"/>
              </w:rPr>
              <w:t>причинно-</w:t>
            </w:r>
            <w:proofErr w:type="spellEnd"/>
            <w:r w:rsidRPr="00276803">
              <w:rPr>
                <w:sz w:val="24"/>
                <w:szCs w:val="24"/>
                <w:lang w:val="uk-UA"/>
              </w:rPr>
              <w:t xml:space="preserve"> наслідкових зв’язків розвитку суспільства й уміння їх використовувати в професійній і соціальній діяльності;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303"/>
              </w:tabs>
              <w:ind w:left="303" w:right="102" w:hanging="280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 xml:space="preserve">здатність до пошуку, опрацювання та узагальнення професійної, </w:t>
            </w:r>
            <w:proofErr w:type="spellStart"/>
            <w:r w:rsidRPr="00276803">
              <w:rPr>
                <w:sz w:val="24"/>
                <w:szCs w:val="24"/>
                <w:lang w:val="uk-UA"/>
              </w:rPr>
              <w:t>науково-</w:t>
            </w:r>
            <w:proofErr w:type="spellEnd"/>
            <w:r w:rsidRPr="00276803">
              <w:rPr>
                <w:sz w:val="24"/>
                <w:szCs w:val="24"/>
                <w:lang w:val="uk-UA"/>
              </w:rPr>
              <w:t xml:space="preserve"> технічної  інформації, 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знання  </w:t>
            </w:r>
            <w:r w:rsidRPr="00276803">
              <w:rPr>
                <w:sz w:val="24"/>
                <w:szCs w:val="24"/>
                <w:lang w:val="uk-UA"/>
              </w:rPr>
              <w:t xml:space="preserve">в </w:t>
            </w:r>
            <w:r w:rsidRPr="00276803">
              <w:rPr>
                <w:spacing w:val="-7"/>
                <w:sz w:val="24"/>
                <w:szCs w:val="24"/>
                <w:lang w:val="uk-UA"/>
              </w:rPr>
              <w:t xml:space="preserve">галузі  </w:t>
            </w:r>
            <w:r w:rsidRPr="00276803">
              <w:rPr>
                <w:sz w:val="24"/>
                <w:szCs w:val="24"/>
                <w:lang w:val="uk-UA"/>
              </w:rPr>
              <w:t>сучасних  інформаційних  технологій і необхідних в професійній і соціальній діяльності;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303"/>
              </w:tabs>
              <w:ind w:left="303" w:right="102" w:hanging="280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навички</w:t>
            </w:r>
            <w:r w:rsidRPr="00276803">
              <w:rPr>
                <w:sz w:val="24"/>
                <w:szCs w:val="24"/>
                <w:lang w:val="uk-UA"/>
              </w:rPr>
              <w:tab/>
              <w:t xml:space="preserve">у  отриманні,  збереженні,  обробці,  поширенні </w:t>
            </w:r>
            <w:proofErr w:type="spellStart"/>
            <w:r w:rsidRPr="00276803">
              <w:rPr>
                <w:sz w:val="24"/>
                <w:szCs w:val="24"/>
                <w:lang w:val="uk-UA"/>
              </w:rPr>
              <w:t>про-фесійної</w:t>
            </w:r>
            <w:proofErr w:type="spellEnd"/>
            <w:r w:rsidRPr="00276803">
              <w:rPr>
                <w:sz w:val="24"/>
                <w:szCs w:val="24"/>
                <w:lang w:val="uk-UA"/>
              </w:rPr>
              <w:t xml:space="preserve"> та науково-технічної інформації;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303"/>
              </w:tabs>
              <w:ind w:left="303" w:right="102" w:hanging="280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</w:t>
            </w:r>
            <w:r w:rsidRPr="00276803">
              <w:rPr>
                <w:sz w:val="24"/>
                <w:szCs w:val="24"/>
                <w:lang w:val="uk-UA"/>
              </w:rPr>
              <w:tab/>
              <w:t>застосовувати</w:t>
            </w:r>
            <w:r w:rsidRPr="00276803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педагогічно-психологічні</w:t>
            </w:r>
            <w:r>
              <w:rPr>
                <w:sz w:val="24"/>
                <w:szCs w:val="24"/>
                <w:lang w:val="uk-UA"/>
              </w:rPr>
              <w:tab/>
              <w:t xml:space="preserve">засади </w:t>
            </w:r>
            <w:proofErr w:type="spellStart"/>
            <w:r w:rsidRPr="00276803">
              <w:rPr>
                <w:sz w:val="24"/>
                <w:szCs w:val="24"/>
                <w:lang w:val="uk-UA"/>
              </w:rPr>
              <w:t>навчально-</w:t>
            </w:r>
            <w:proofErr w:type="spellEnd"/>
            <w:r w:rsidRPr="00276803">
              <w:rPr>
                <w:sz w:val="24"/>
                <w:szCs w:val="24"/>
                <w:lang w:val="uk-UA"/>
              </w:rPr>
              <w:t xml:space="preserve"> виховного процесу у вищих навчальних закладах;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445"/>
              </w:tabs>
              <w:ind w:left="445" w:right="102" w:hanging="422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 використовувати нормативно-правові та організаційні основи навчально-виховного процесу у вищих навчальних закладах;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3"/>
              </w:numPr>
              <w:tabs>
                <w:tab w:val="clear" w:pos="360"/>
                <w:tab w:val="num" w:pos="445"/>
              </w:tabs>
              <w:ind w:left="445" w:right="102" w:hanging="422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 w:eastAsia="uk-UA"/>
              </w:rPr>
              <w:t>здатність розробляти та управляти проектами.</w:t>
            </w:r>
          </w:p>
        </w:tc>
      </w:tr>
      <w:tr w:rsidR="005E5C57" w:rsidRPr="00E7757E" w:rsidTr="008B6CE6">
        <w:trPr>
          <w:trHeight w:val="3218"/>
        </w:trPr>
        <w:tc>
          <w:tcPr>
            <w:tcW w:w="2107" w:type="dxa"/>
          </w:tcPr>
          <w:p w:rsidR="005E5C57" w:rsidRPr="00E7757E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757E">
              <w:rPr>
                <w:rFonts w:ascii="Times New Roman" w:hAnsi="Times New Roman" w:cs="Times New Roman"/>
                <w:b/>
                <w:bCs/>
              </w:rPr>
              <w:lastRenderedPageBreak/>
              <w:t>Фахові</w:t>
            </w:r>
            <w:proofErr w:type="spellEnd"/>
            <w:r w:rsidRPr="00E77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757E">
              <w:rPr>
                <w:rFonts w:ascii="Times New Roman" w:hAnsi="Times New Roman" w:cs="Times New Roman"/>
                <w:b/>
                <w:bCs/>
              </w:rPr>
              <w:t>компетентності</w:t>
            </w:r>
            <w:proofErr w:type="spellEnd"/>
            <w:r w:rsidRPr="00E77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7757E">
              <w:rPr>
                <w:rFonts w:ascii="Times New Roman" w:hAnsi="Times New Roman" w:cs="Times New Roman"/>
                <w:b/>
                <w:bCs/>
              </w:rPr>
              <w:t>спец</w:t>
            </w:r>
            <w:proofErr w:type="gramEnd"/>
            <w:r w:rsidRPr="00E7757E">
              <w:rPr>
                <w:rFonts w:ascii="Times New Roman" w:hAnsi="Times New Roman" w:cs="Times New Roman"/>
                <w:b/>
                <w:bCs/>
              </w:rPr>
              <w:t>іальності</w:t>
            </w:r>
            <w:proofErr w:type="spellEnd"/>
            <w:r w:rsidRPr="00E7757E">
              <w:rPr>
                <w:rFonts w:ascii="Times New Roman" w:hAnsi="Times New Roman" w:cs="Times New Roman"/>
                <w:b/>
                <w:bCs/>
              </w:rPr>
              <w:t xml:space="preserve"> (ФК)</w:t>
            </w:r>
          </w:p>
          <w:p w:rsidR="005E5C57" w:rsidRPr="00E7757E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5C57" w:rsidRPr="00E7757E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5C57" w:rsidRPr="00E7757E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5C57" w:rsidRPr="00E7757E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5C57" w:rsidRPr="00E7757E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5C57" w:rsidRPr="00E7757E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5C57" w:rsidRPr="00E7757E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5C57" w:rsidRPr="00E7757E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E5C57" w:rsidRPr="00E7757E" w:rsidRDefault="005E5C57" w:rsidP="005E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3" w:type="dxa"/>
            <w:gridSpan w:val="2"/>
          </w:tcPr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303"/>
              </w:tabs>
              <w:ind w:left="303" w:right="102" w:hanging="285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у сфері екології, охорони довкілля та збалансованого природокористування;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303"/>
              </w:tabs>
              <w:ind w:left="303" w:right="102" w:hanging="285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 xml:space="preserve">використання знань сучасних галузевих проблем щодо оптимізації стану сільськогосподарських об’єктів здатність </w:t>
            </w:r>
            <w:r w:rsidRPr="00276803">
              <w:rPr>
                <w:spacing w:val="-9"/>
                <w:sz w:val="24"/>
                <w:szCs w:val="24"/>
                <w:lang w:val="uk-UA"/>
              </w:rPr>
              <w:t xml:space="preserve">використовувати </w:t>
            </w:r>
            <w:r w:rsidRPr="00276803">
              <w:rPr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 w:rsidRPr="00276803">
              <w:rPr>
                <w:sz w:val="24"/>
                <w:szCs w:val="24"/>
                <w:lang w:val="uk-UA"/>
              </w:rPr>
              <w:t>коеволюції</w:t>
            </w:r>
            <w:proofErr w:type="spellEnd"/>
            <w:r w:rsidRPr="00276803">
              <w:rPr>
                <w:sz w:val="24"/>
                <w:szCs w:val="24"/>
                <w:lang w:val="uk-UA"/>
              </w:rPr>
              <w:t xml:space="preserve"> суспільства і природи, сталого розвитку в професійній та соціальній діяльності;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303"/>
              </w:tabs>
              <w:ind w:left="303" w:right="102" w:hanging="285"/>
              <w:rPr>
                <w:sz w:val="24"/>
                <w:szCs w:val="24"/>
                <w:lang w:val="uk-UA"/>
              </w:rPr>
            </w:pP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здатність </w:t>
            </w:r>
            <w:r w:rsidRPr="00276803">
              <w:rPr>
                <w:sz w:val="24"/>
                <w:szCs w:val="24"/>
                <w:lang w:val="uk-UA"/>
              </w:rPr>
              <w:t xml:space="preserve">застосовувати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індикатори сталого розвитку </w:t>
            </w:r>
            <w:r w:rsidRPr="00276803">
              <w:rPr>
                <w:spacing w:val="-6"/>
                <w:sz w:val="24"/>
                <w:szCs w:val="24"/>
                <w:lang w:val="uk-UA"/>
              </w:rPr>
              <w:t xml:space="preserve">для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обґрунтування рішень, пов’язаних </w:t>
            </w:r>
            <w:r w:rsidRPr="00276803">
              <w:rPr>
                <w:sz w:val="24"/>
                <w:szCs w:val="24"/>
                <w:lang w:val="uk-UA"/>
              </w:rPr>
              <w:t xml:space="preserve">з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 xml:space="preserve">розвитком </w:t>
            </w:r>
            <w:r w:rsidRPr="00276803">
              <w:rPr>
                <w:spacing w:val="-9"/>
                <w:sz w:val="24"/>
                <w:szCs w:val="24"/>
                <w:lang w:val="uk-UA"/>
              </w:rPr>
              <w:t xml:space="preserve">соціально-економічних </w:t>
            </w:r>
            <w:r w:rsidRPr="00276803">
              <w:rPr>
                <w:spacing w:val="-8"/>
                <w:sz w:val="24"/>
                <w:szCs w:val="24"/>
                <w:lang w:val="uk-UA"/>
              </w:rPr>
              <w:t>систем;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303"/>
              </w:tabs>
              <w:ind w:left="303" w:right="102" w:hanging="285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 застосовувати засади і принципи державної політики у сфері охорони довкілля  та раціонального природокористування;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303"/>
              </w:tabs>
              <w:ind w:left="303" w:right="102" w:hanging="285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навички використовування природоохоронних технологій, які дозволяють мінімізувати техногенний влив на природні системи;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303"/>
              </w:tabs>
              <w:ind w:left="303" w:right="102" w:hanging="285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 формувати систему екологічного менеджменту та процедур управління діяльністю підприємств, складових екологічного управління, функцій, завдань органів екологічного управління;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303"/>
              </w:tabs>
              <w:ind w:left="303" w:right="102" w:hanging="285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навички роботи в комп’ютерних мережах, використання сучасних інформаційних технологій та програмних засобів;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303"/>
              </w:tabs>
              <w:ind w:left="303" w:right="102" w:hanging="285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знання теоретичних основ забезпечення екологічної безпеки;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303"/>
              </w:tabs>
              <w:ind w:left="303" w:right="102" w:hanging="285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знання прояву окремих показників екологічної небезпеки залежно від її характеристики;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знання причин та характеру надзвичайних природних і антропогенних ситуацій;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знання щодо чинників впливу екологічно небезпечних явищ та процесів на біологічні та фізіологічні показники стану людини, здатність їх  застосовувати для визначення соціальних наслідків техногенних змін стану довкілля;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lastRenderedPageBreak/>
              <w:t>здатність до організації робіт, пов’язаних з оцінкою екологічного стану, захистом довкілля та оптимізацією природокористування, в умовах неповної інформації та суперечливих вимог;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знання основних принципів державної політики у сфері екологічного контролю;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знання засобів проведення екологічного контролю стану природного середовища, в т.ч. технічних;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 оцінювати рівень негативного впливу природних та антропогенних факторів екологічної небезпеки на довкілля та людину;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 освоювати і використовувати сучасне обладнання та застосовувати новітні технології для проведення досліджень;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 використовувати принципи збереження біологічного і ландшафтного різноманіття, створення екологічної мережі;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 xml:space="preserve">сучасна обізнаність щодо національних та міжнародних програм та законодавчих актів формування </w:t>
            </w:r>
            <w:proofErr w:type="spellStart"/>
            <w:r w:rsidRPr="00276803">
              <w:rPr>
                <w:sz w:val="24"/>
                <w:szCs w:val="24"/>
                <w:lang w:val="uk-UA"/>
              </w:rPr>
              <w:t>екомережі</w:t>
            </w:r>
            <w:proofErr w:type="spellEnd"/>
            <w:r w:rsidRPr="00276803">
              <w:rPr>
                <w:sz w:val="24"/>
                <w:szCs w:val="24"/>
                <w:lang w:val="uk-UA"/>
              </w:rPr>
              <w:t xml:space="preserve"> різного ступеня організації;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використання методів розрахунку екологічного ризику для оцінювання рівня антропогенного впливу на стан об’єктів ПЗФ;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використання знань про принципи просторової диференціації різних категорій та об’єктів ПЗФ на певній місцевості;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lang w:val="uk-UA"/>
              </w:rPr>
              <w:t>здатність самостійно розробляти екологічні проекти шляхом творчого застосування існуючих та генерування нових ідей.</w:t>
            </w:r>
          </w:p>
          <w:p w:rsidR="005E5C57" w:rsidRPr="00276803" w:rsidRDefault="005E5C57" w:rsidP="005E5C57">
            <w:pPr>
              <w:pStyle w:val="TableParagraph"/>
              <w:numPr>
                <w:ilvl w:val="0"/>
                <w:numId w:val="2"/>
              </w:numPr>
              <w:tabs>
                <w:tab w:val="clear" w:pos="240"/>
                <w:tab w:val="left" w:pos="445"/>
              </w:tabs>
              <w:ind w:left="445" w:right="102" w:hanging="427"/>
              <w:rPr>
                <w:sz w:val="24"/>
                <w:szCs w:val="24"/>
                <w:lang w:val="uk-UA"/>
              </w:rPr>
            </w:pPr>
            <w:proofErr w:type="spellStart"/>
            <w:r w:rsidRPr="00276803">
              <w:rPr>
                <w:sz w:val="24"/>
                <w:szCs w:val="24"/>
                <w:lang w:val="ru-RU"/>
              </w:rPr>
              <w:t>з</w:t>
            </w:r>
            <w:r w:rsidRPr="00276803">
              <w:rPr>
                <w:sz w:val="24"/>
                <w:szCs w:val="24"/>
                <w:lang w:val="uk-UA"/>
              </w:rPr>
              <w:t>датність</w:t>
            </w:r>
            <w:proofErr w:type="spellEnd"/>
            <w:r w:rsidRPr="00276803">
              <w:rPr>
                <w:sz w:val="24"/>
                <w:szCs w:val="24"/>
                <w:lang w:val="uk-UA"/>
              </w:rPr>
              <w:t xml:space="preserve"> управляти стратегічним розвитком команди в процесі здійснення професійної діяльності</w:t>
            </w:r>
          </w:p>
        </w:tc>
      </w:tr>
      <w:tr w:rsidR="005E5C57" w:rsidRPr="008C5F51" w:rsidTr="008B6CE6">
        <w:tc>
          <w:tcPr>
            <w:tcW w:w="9570" w:type="dxa"/>
            <w:gridSpan w:val="3"/>
            <w:shd w:val="clear" w:color="auto" w:fill="E0E0E0"/>
          </w:tcPr>
          <w:p w:rsidR="005E5C57" w:rsidRPr="008C5F51" w:rsidRDefault="005E5C57" w:rsidP="005E5C57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–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Програмні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результати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навчання</w:t>
            </w:r>
            <w:proofErr w:type="spellEnd"/>
          </w:p>
        </w:tc>
      </w:tr>
      <w:tr w:rsidR="005E5C57" w:rsidRPr="008C14FC" w:rsidTr="008B6CE6">
        <w:tc>
          <w:tcPr>
            <w:tcW w:w="2107" w:type="dxa"/>
          </w:tcPr>
          <w:p w:rsidR="005E5C57" w:rsidRPr="008C5F51" w:rsidRDefault="005E5C57" w:rsidP="005E5C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3" w:type="dxa"/>
            <w:gridSpan w:val="2"/>
          </w:tcPr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spacing w:after="0" w:line="240" w:lineRule="auto"/>
              <w:ind w:left="30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представляти результати комплексних досліджень у галузі екології та охорони довкілля у вигляді наукових звітів і презентацій, застосовуючи сучасні картографічні та графічні методи;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303"/>
              </w:tabs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аналіз, синтез, творче осмислення, оцінювання та систематизацію різноманітних інформаційних джерел для проведення досліджень у галузі екології та охорони довкілля;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303"/>
              </w:tabs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об’єкт, мету і постановку завдань наукового дослідження;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303"/>
              </w:tabs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планувати, організовувати і проводити комплексні екологічні дослідження;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303"/>
              </w:tabs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  здійснювати   планування   і   організацію   заходів   з   захисту населення і виробничого персоналу від наслідків аварій, катастроф, стихійних лих;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303"/>
              </w:tabs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демонструвати обізнаність щодо новітніх принципів та методів захисту навколишнього середовища;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303"/>
              </w:tabs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7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уміти оцінювати ландшафтне і біологічне різноманіття та аналізувати наслідки антропогенного впливу на природні  середовища;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303"/>
              </w:tabs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застосовувати нові підходи для вироблення стратегії прийняття рішень у складних непередбачуваних умовах;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303"/>
              </w:tabs>
              <w:autoSpaceDE w:val="0"/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використовувати сучасні інформаційні ресурси з питань екології, природокористування та захисту довкілля;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445"/>
              </w:tabs>
              <w:autoSpaceDE w:val="0"/>
              <w:spacing w:after="0" w:line="240" w:lineRule="auto"/>
              <w:ind w:left="445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пошук інформації з використанням відповідних джерел для прийняття обґрунтованих рішень;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445"/>
              </w:tabs>
              <w:autoSpaceDE w:val="0"/>
              <w:spacing w:after="0" w:line="240" w:lineRule="auto"/>
              <w:ind w:left="445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брати участь у розробці та реалізації проектів, направлених на оптимальне управління та поводження з виробничими та </w:t>
            </w: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муніципальними відходами;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445"/>
              </w:tabs>
              <w:autoSpaceDE w:val="0"/>
              <w:spacing w:after="0" w:line="240" w:lineRule="auto"/>
              <w:ind w:left="445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психологічні засади з урахуванням психологічної структури особистості в навчально-виховному процесі у вищих навчальних закладах;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445"/>
              </w:tabs>
              <w:autoSpaceDE w:val="0"/>
              <w:spacing w:after="0" w:line="240" w:lineRule="auto"/>
              <w:ind w:left="445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</w:t>
            </w: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використовувати   дидактичні   засади   та здійснювати науково-методичне забезпечення навчально-виховного процесу у вищій школі;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445"/>
              </w:tabs>
              <w:autoSpaceDE w:val="0"/>
              <w:spacing w:after="0" w:line="240" w:lineRule="auto"/>
              <w:ind w:left="445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та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надзвичайної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C57" w:rsidRPr="00276803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445"/>
              </w:tabs>
              <w:autoSpaceDE w:val="0"/>
              <w:spacing w:after="0" w:line="240" w:lineRule="auto"/>
              <w:ind w:left="445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ізноманітних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професійному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соціальному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рівнях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E5C57" w:rsidRPr="000E4D49" w:rsidRDefault="005E5C57" w:rsidP="005E5C57">
            <w:pPr>
              <w:numPr>
                <w:ilvl w:val="1"/>
                <w:numId w:val="1"/>
              </w:numPr>
              <w:tabs>
                <w:tab w:val="clear" w:pos="1440"/>
                <w:tab w:val="num" w:pos="445"/>
              </w:tabs>
              <w:autoSpaceDE w:val="0"/>
              <w:spacing w:after="0" w:line="240" w:lineRule="auto"/>
              <w:ind w:left="445" w:hanging="4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у розробці проектів і практичних рекомендацій щодо збереження довкілля із залученням громадськості.</w:t>
            </w:r>
          </w:p>
        </w:tc>
      </w:tr>
      <w:tr w:rsidR="005E5C57" w:rsidRPr="008C5F51" w:rsidTr="008B6CE6">
        <w:tc>
          <w:tcPr>
            <w:tcW w:w="9570" w:type="dxa"/>
            <w:gridSpan w:val="3"/>
            <w:shd w:val="clear" w:color="auto" w:fill="E0E0E0"/>
          </w:tcPr>
          <w:p w:rsidR="005E5C57" w:rsidRPr="008C5F51" w:rsidRDefault="005E5C57" w:rsidP="005E5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 –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Ресурсне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реалізації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Специфічні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характе</w:t>
            </w:r>
            <w:r w:rsidRPr="008C5F51">
              <w:rPr>
                <w:rFonts w:ascii="Times New Roman" w:hAnsi="Times New Roman" w:cs="Times New Roman"/>
                <w:b/>
                <w:bCs/>
              </w:rPr>
              <w:t xml:space="preserve">ристики </w:t>
            </w:r>
            <w:proofErr w:type="gramStart"/>
            <w:r w:rsidRPr="008C5F51">
              <w:rPr>
                <w:rFonts w:ascii="Times New Roman" w:hAnsi="Times New Roman" w:cs="Times New Roman"/>
                <w:b/>
                <w:bCs/>
              </w:rPr>
              <w:t>кадрового</w:t>
            </w:r>
            <w:proofErr w:type="gramEnd"/>
            <w:r w:rsidRPr="008C5F51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8B224E" w:rsidRDefault="005E5C57" w:rsidP="005E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науково-педагогічних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задіяних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професійно-орієнтован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Екологія</w:t>
            </w:r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наукові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вчені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звання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Специфічні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характе</w:t>
            </w:r>
            <w:r w:rsidRPr="008C5F51">
              <w:rPr>
                <w:rFonts w:ascii="Times New Roman" w:hAnsi="Times New Roman" w:cs="Times New Roman"/>
                <w:b/>
                <w:bCs/>
              </w:rPr>
              <w:t xml:space="preserve">ристики </w:t>
            </w:r>
            <w:proofErr w:type="spellStart"/>
            <w:proofErr w:type="gramStart"/>
            <w:r w:rsidRPr="008C5F51">
              <w:rPr>
                <w:rFonts w:ascii="Times New Roman" w:hAnsi="Times New Roman" w:cs="Times New Roman"/>
                <w:b/>
                <w:bCs/>
              </w:rPr>
              <w:t>матер</w:t>
            </w:r>
            <w:proofErr w:type="gramEnd"/>
            <w:r w:rsidRPr="008C5F51">
              <w:rPr>
                <w:rFonts w:ascii="Times New Roman" w:hAnsi="Times New Roman" w:cs="Times New Roman"/>
                <w:b/>
                <w:bCs/>
              </w:rPr>
              <w:t>іально-технічного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</w:p>
        </w:tc>
        <w:tc>
          <w:tcPr>
            <w:tcW w:w="7463" w:type="dxa"/>
            <w:gridSpan w:val="2"/>
          </w:tcPr>
          <w:p w:rsidR="005E5C57" w:rsidRDefault="005E5C57" w:rsidP="005E5C57">
            <w:pPr>
              <w:spacing w:after="0" w:line="240" w:lineRule="auto"/>
              <w:ind w:left="-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Забезпеченість навчальними приміщеннями, лабораторіями відповідає потребі.</w:t>
            </w:r>
          </w:p>
          <w:p w:rsidR="005E5C57" w:rsidRPr="008B224E" w:rsidRDefault="005E5C57" w:rsidP="005E5C57">
            <w:pPr>
              <w:spacing w:after="0" w:line="240" w:lineRule="auto"/>
              <w:ind w:left="-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сучасних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прикладних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програмний</w:t>
            </w:r>
            <w:proofErr w:type="spellEnd"/>
            <w:r w:rsidRPr="008B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</w:t>
            </w:r>
          </w:p>
          <w:p w:rsidR="005E5C57" w:rsidRPr="008C5F51" w:rsidRDefault="005E5C57" w:rsidP="005E5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Специфічні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характе</w:t>
            </w:r>
            <w:r w:rsidRPr="008C5F51">
              <w:rPr>
                <w:rFonts w:ascii="Times New Roman" w:hAnsi="Times New Roman" w:cs="Times New Roman"/>
                <w:b/>
                <w:bCs/>
              </w:rPr>
              <w:t xml:space="preserve">ристики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інформаційного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навчально-методичного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8B224E" w:rsidRDefault="005E5C57" w:rsidP="005E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ВНЗ м. Львова,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В.Стефаника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В.І.Вернадського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gram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авторських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розробок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  ЛНУВМБТ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 xml:space="preserve">. С.З. </w:t>
            </w:r>
            <w:proofErr w:type="spellStart"/>
            <w:r w:rsidRPr="008B224E">
              <w:rPr>
                <w:rFonts w:ascii="Times New Roman" w:hAnsi="Times New Roman" w:cs="Times New Roman"/>
                <w:sz w:val="24"/>
                <w:szCs w:val="24"/>
              </w:rPr>
              <w:t>Гжицького</w:t>
            </w:r>
            <w:proofErr w:type="spellEnd"/>
          </w:p>
        </w:tc>
      </w:tr>
      <w:tr w:rsidR="005E5C57" w:rsidRPr="008C5F51" w:rsidTr="008B6CE6">
        <w:tc>
          <w:tcPr>
            <w:tcW w:w="9570" w:type="dxa"/>
            <w:gridSpan w:val="3"/>
            <w:shd w:val="clear" w:color="auto" w:fill="E0E0E0"/>
          </w:tcPr>
          <w:p w:rsidR="005E5C57" w:rsidRPr="008C5F51" w:rsidRDefault="005E5C57" w:rsidP="005E5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F51">
              <w:rPr>
                <w:rFonts w:ascii="Times New Roman" w:hAnsi="Times New Roman" w:cs="Times New Roman"/>
                <w:b/>
                <w:bCs/>
              </w:rPr>
              <w:t xml:space="preserve">9 –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Академічна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мобільність</w:t>
            </w:r>
            <w:proofErr w:type="spellEnd"/>
          </w:p>
        </w:tc>
      </w:tr>
      <w:tr w:rsidR="005E5C57" w:rsidRPr="008C5F51" w:rsidTr="008B6CE6">
        <w:trPr>
          <w:trHeight w:val="826"/>
        </w:trPr>
        <w:tc>
          <w:tcPr>
            <w:tcW w:w="2107" w:type="dxa"/>
          </w:tcPr>
          <w:p w:rsidR="005E5C57" w:rsidRPr="008C5F51" w:rsidRDefault="005E5C57" w:rsidP="005E5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Національна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кредитна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мобільність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276803" w:rsidRDefault="005E5C57" w:rsidP="005E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академічна мобільність реалізується у рамках між університетських договорів про встановлення науково-освітянських відносин для задоволення потреб розвитку освіти і науки.</w:t>
            </w:r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Міжнародна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кредитна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мобільність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276803" w:rsidRDefault="005E5C57" w:rsidP="005E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двосторонніх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anchor="inter-institutional_agreements" w:tgtFrame="_blank" w:history="1">
              <w:r w:rsidRPr="0027680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76803">
                <w:rPr>
                  <w:rFonts w:ascii="Times New Roman" w:hAnsi="Times New Roman" w:cs="Times New Roman"/>
                  <w:sz w:val="24"/>
                  <w:szCs w:val="24"/>
                </w:rPr>
                <w:t>договорів</w:t>
              </w:r>
              <w:proofErr w:type="spellEnd"/>
            </w:hyperlink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Львівським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університетом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ветеринарної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медицини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біотехнології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С.З.Гжицького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вищими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закладами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зарубіжних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країн-партнерів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угодами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співпрацю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деякими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університетами</w:t>
            </w:r>
            <w:proofErr w:type="spellEnd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>Польщі</w:t>
            </w:r>
            <w:proofErr w:type="spellEnd"/>
            <w:proofErr w:type="gramStart"/>
            <w:r w:rsidRPr="002768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E5C57" w:rsidRPr="008C5F51" w:rsidTr="008B6CE6">
        <w:tc>
          <w:tcPr>
            <w:tcW w:w="2107" w:type="dxa"/>
          </w:tcPr>
          <w:p w:rsidR="005E5C57" w:rsidRPr="008C5F51" w:rsidRDefault="005E5C57" w:rsidP="005E5C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Навчання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іноземних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здобувачів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вищої</w:t>
            </w:r>
            <w:proofErr w:type="spellEnd"/>
            <w:r w:rsidRPr="008C5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5F51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</w:p>
        </w:tc>
        <w:tc>
          <w:tcPr>
            <w:tcW w:w="7463" w:type="dxa"/>
            <w:gridSpan w:val="2"/>
          </w:tcPr>
          <w:p w:rsidR="005E5C57" w:rsidRPr="00276803" w:rsidRDefault="005E5C57" w:rsidP="005E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іноземних здобувачів вищої освіти не проводиться.</w:t>
            </w:r>
          </w:p>
        </w:tc>
      </w:tr>
    </w:tbl>
    <w:p w:rsidR="00F015DF" w:rsidRPr="00DD1D11" w:rsidRDefault="00F015DF" w:rsidP="00DD1D11">
      <w:pPr>
        <w:jc w:val="center"/>
        <w:rPr>
          <w:sz w:val="28"/>
          <w:szCs w:val="28"/>
        </w:rPr>
      </w:pPr>
    </w:p>
    <w:sectPr w:rsidR="00F015DF" w:rsidRPr="00DD1D11" w:rsidSect="00DD1D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B09"/>
    <w:multiLevelType w:val="hybridMultilevel"/>
    <w:tmpl w:val="0FDCDA72"/>
    <w:lvl w:ilvl="0" w:tplc="74AC4908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77D0"/>
    <w:multiLevelType w:val="hybridMultilevel"/>
    <w:tmpl w:val="D09EFD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001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000000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0B5714"/>
    <w:multiLevelType w:val="hybridMultilevel"/>
    <w:tmpl w:val="582E4B98"/>
    <w:lvl w:ilvl="0" w:tplc="04A8F39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67A864EE"/>
    <w:multiLevelType w:val="hybridMultilevel"/>
    <w:tmpl w:val="AEA8DE96"/>
    <w:lvl w:ilvl="0" w:tplc="04A8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11"/>
    <w:rsid w:val="001B52C5"/>
    <w:rsid w:val="001B5DEF"/>
    <w:rsid w:val="00222158"/>
    <w:rsid w:val="00224B04"/>
    <w:rsid w:val="005E5C57"/>
    <w:rsid w:val="006148CD"/>
    <w:rsid w:val="007233D2"/>
    <w:rsid w:val="00842172"/>
    <w:rsid w:val="00DD1D11"/>
    <w:rsid w:val="00E93B00"/>
    <w:rsid w:val="00F0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11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52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2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2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2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2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2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2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2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2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2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2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2C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B52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B52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B52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B52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B52C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52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B52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52C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B52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B52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B52C5"/>
    <w:rPr>
      <w:b/>
      <w:bCs/>
    </w:rPr>
  </w:style>
  <w:style w:type="character" w:styleId="a8">
    <w:name w:val="Emphasis"/>
    <w:uiPriority w:val="20"/>
    <w:qFormat/>
    <w:rsid w:val="001B52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B52C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B52C5"/>
  </w:style>
  <w:style w:type="paragraph" w:styleId="ab">
    <w:name w:val="List Paragraph"/>
    <w:basedOn w:val="a"/>
    <w:uiPriority w:val="34"/>
    <w:qFormat/>
    <w:rsid w:val="001B52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2C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52C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B52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B52C5"/>
    <w:rPr>
      <w:b/>
      <w:bCs/>
      <w:i/>
      <w:iCs/>
    </w:rPr>
  </w:style>
  <w:style w:type="character" w:styleId="ae">
    <w:name w:val="Subtle Emphasis"/>
    <w:uiPriority w:val="19"/>
    <w:qFormat/>
    <w:rsid w:val="001B52C5"/>
    <w:rPr>
      <w:i/>
      <w:iCs/>
    </w:rPr>
  </w:style>
  <w:style w:type="character" w:styleId="af">
    <w:name w:val="Intense Emphasis"/>
    <w:uiPriority w:val="21"/>
    <w:qFormat/>
    <w:rsid w:val="001B52C5"/>
    <w:rPr>
      <w:b/>
      <w:bCs/>
    </w:rPr>
  </w:style>
  <w:style w:type="character" w:styleId="af0">
    <w:name w:val="Subtle Reference"/>
    <w:uiPriority w:val="31"/>
    <w:qFormat/>
    <w:rsid w:val="001B52C5"/>
    <w:rPr>
      <w:smallCaps/>
    </w:rPr>
  </w:style>
  <w:style w:type="character" w:styleId="af1">
    <w:name w:val="Intense Reference"/>
    <w:uiPriority w:val="32"/>
    <w:qFormat/>
    <w:rsid w:val="001B52C5"/>
    <w:rPr>
      <w:smallCaps/>
      <w:spacing w:val="5"/>
      <w:u w:val="single"/>
    </w:rPr>
  </w:style>
  <w:style w:type="character" w:styleId="af2">
    <w:name w:val="Book Title"/>
    <w:uiPriority w:val="33"/>
    <w:qFormat/>
    <w:rsid w:val="001B52C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52C5"/>
    <w:pPr>
      <w:outlineLvl w:val="9"/>
    </w:pPr>
  </w:style>
  <w:style w:type="paragraph" w:customStyle="1" w:styleId="TableParagraph">
    <w:name w:val="Table Paragraph"/>
    <w:basedOn w:val="a"/>
    <w:uiPriority w:val="99"/>
    <w:rsid w:val="00DD1D11"/>
    <w:pPr>
      <w:widowControl w:val="0"/>
      <w:autoSpaceDE w:val="0"/>
      <w:autoSpaceDN w:val="0"/>
      <w:spacing w:after="0" w:line="240" w:lineRule="auto"/>
      <w:ind w:left="103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education/opportunities/higher-education/quality-framework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2018-09-19T23:28:00Z</dcterms:created>
  <dcterms:modified xsi:type="dcterms:W3CDTF">2018-09-19T23:59:00Z</dcterms:modified>
</cp:coreProperties>
</file>